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6360" w14:textId="01A7EF7A" w:rsidR="00A56719" w:rsidRPr="00737F7F" w:rsidRDefault="00A56719" w:rsidP="00A56719">
      <w:pPr>
        <w:rPr>
          <w:rFonts w:asciiTheme="majorHAnsi" w:hAnsiTheme="majorHAnsi"/>
          <w:sz w:val="24"/>
          <w:szCs w:val="24"/>
          <w:lang w:val="pt-PT"/>
        </w:rPr>
      </w:pPr>
      <w:proofErr w:type="spellStart"/>
      <w:proofErr w:type="gramStart"/>
      <w:r w:rsidRPr="00737F7F">
        <w:rPr>
          <w:rFonts w:asciiTheme="majorHAnsi" w:hAnsiTheme="majorHAnsi"/>
          <w:b/>
          <w:i/>
          <w:sz w:val="24"/>
          <w:szCs w:val="24"/>
          <w:lang w:val="pt-PT"/>
        </w:rPr>
        <w:t>ex</w:t>
      </w:r>
      <w:proofErr w:type="spellEnd"/>
      <w:proofErr w:type="gramEnd"/>
      <w:r w:rsidRPr="00737F7F">
        <w:rPr>
          <w:rFonts w:asciiTheme="majorHAnsi" w:hAnsiTheme="majorHAnsi"/>
          <w:b/>
          <w:i/>
          <w:sz w:val="24"/>
          <w:szCs w:val="24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b/>
          <w:i/>
          <w:sz w:val="24"/>
          <w:szCs w:val="24"/>
          <w:lang w:val="pt-PT"/>
        </w:rPr>
        <w:t>æquo</w:t>
      </w:r>
      <w:proofErr w:type="spellEnd"/>
      <w:r w:rsidRPr="00737F7F">
        <w:rPr>
          <w:rFonts w:asciiTheme="majorHAnsi" w:hAnsiTheme="majorHAnsi"/>
          <w:i/>
          <w:sz w:val="24"/>
          <w:szCs w:val="24"/>
          <w:lang w:val="pt-PT"/>
        </w:rPr>
        <w:t xml:space="preserve"> </w:t>
      </w:r>
    </w:p>
    <w:p w14:paraId="670222DA" w14:textId="229AC97A" w:rsidR="00A56719" w:rsidRPr="00A00A90" w:rsidRDefault="00737F7F" w:rsidP="00A56719">
      <w:pPr>
        <w:rPr>
          <w:rFonts w:asciiTheme="majorHAnsi" w:hAnsiTheme="majorHAnsi" w:cs="Times New Roman"/>
          <w:color w:val="595959" w:themeColor="text1" w:themeTint="A6"/>
          <w:sz w:val="20"/>
          <w:szCs w:val="20"/>
          <w:lang w:val="pt-PT"/>
        </w:rPr>
      </w:pPr>
      <w:r>
        <w:rPr>
          <w:rFonts w:ascii="Cambria" w:hAnsi="Cambria"/>
          <w:i/>
          <w:noProof/>
          <w:color w:val="595959" w:themeColor="text1" w:themeTint="A6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498EBABE" wp14:editId="0500AB7E">
            <wp:simplePos x="0" y="0"/>
            <wp:positionH relativeFrom="margin">
              <wp:align>right</wp:align>
            </wp:positionH>
            <wp:positionV relativeFrom="margin">
              <wp:posOffset>371475</wp:posOffset>
            </wp:positionV>
            <wp:extent cx="2798445" cy="276225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56719" w:rsidRPr="00A00A90"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  <w:lang w:val="pt-PT"/>
        </w:rPr>
        <w:t>é</w:t>
      </w:r>
      <w:proofErr w:type="gramEnd"/>
      <w:r w:rsidR="00A56719" w:rsidRPr="00A00A90">
        <w:rPr>
          <w:rFonts w:asciiTheme="majorHAnsi" w:hAnsiTheme="majorHAnsi" w:cs="Times New Roman"/>
          <w:color w:val="595959" w:themeColor="text1" w:themeTint="A6"/>
          <w:spacing w:val="-15"/>
          <w:sz w:val="20"/>
          <w:szCs w:val="20"/>
          <w:lang w:val="pt-PT"/>
        </w:rPr>
        <w:t xml:space="preserve"> uma revista internacional de periodicidade semestral, editada pela Associação Portuguesa de Estudos sobre as Mulheres – APEM, em parceria com as Edições Afrontamento. </w:t>
      </w:r>
      <w:r w:rsidR="00A56719" w:rsidRPr="00A00A90">
        <w:rPr>
          <w:rFonts w:asciiTheme="majorHAnsi" w:hAnsiTheme="majorHAnsi" w:cs="Times New Roman"/>
          <w:color w:val="595959" w:themeColor="text1" w:themeTint="A6"/>
          <w:sz w:val="20"/>
          <w:szCs w:val="20"/>
          <w:lang w:val="pt-PT"/>
        </w:rPr>
        <w:t>(http://www.apem-estudos.org/pt/page/apresentacao-da-revista)</w:t>
      </w:r>
    </w:p>
    <w:p w14:paraId="413EB8D4" w14:textId="1D3583D9" w:rsidR="00A56719" w:rsidRDefault="00737F7F" w:rsidP="00737F7F">
      <w:pPr>
        <w:rPr>
          <w:rFonts w:asciiTheme="majorHAnsi" w:hAnsiTheme="majorHAnsi" w:cs="Times New Roman"/>
          <w:b/>
          <w:sz w:val="24"/>
          <w:szCs w:val="24"/>
          <w:lang w:val="pt-PT"/>
        </w:rPr>
      </w:pP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A 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  <w:lang w:val="pt-PT"/>
        </w:rPr>
        <w:t>ex</w:t>
      </w:r>
      <w:proofErr w:type="spellEnd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  <w:lang w:val="pt-PT"/>
        </w:rPr>
        <w:t>æquo</w:t>
      </w:r>
      <w:proofErr w:type="spellEnd"/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 dirige-se a um público internacional, aceitando manuscritos submetidos em Português, Inglês, Francês e Espanhol, de vários países. Tem como objetivo assegurar a publicação de originais que contribuam de forma significativa para o avanço do conhecimento na área dos Estudos sobre as Mulheres, Feministas e de Género. Os artigos enviados à </w:t>
      </w:r>
      <w:proofErr w:type="spellStart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  <w:lang w:val="pt-PT"/>
        </w:rPr>
        <w:t>ex</w:t>
      </w:r>
      <w:proofErr w:type="spellEnd"/>
      <w:r w:rsidRPr="00737F7F">
        <w:rPr>
          <w:rFonts w:asciiTheme="majorHAnsi" w:hAnsiTheme="majorHAnsi"/>
          <w:i/>
          <w:color w:val="595959" w:themeColor="text1" w:themeTint="A6"/>
          <w:spacing w:val="-15"/>
          <w:sz w:val="20"/>
          <w:szCs w:val="20"/>
          <w:lang w:val="pt-PT"/>
        </w:rPr>
        <w:t xml:space="preserve"> aequo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 para publicação são submetidos, sob anonimato, a um processo d</w:t>
      </w:r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e dupla arbitragem independente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 </w:t>
      </w:r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(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double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blind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peer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 </w:t>
      </w:r>
      <w:proofErr w:type="spellStart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>review</w:t>
      </w:r>
      <w:proofErr w:type="spellEnd"/>
      <w:r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) por </w:t>
      </w:r>
      <w:r w:rsidRPr="00737F7F">
        <w:rPr>
          <w:rFonts w:asciiTheme="majorHAnsi" w:hAnsiTheme="majorHAnsi"/>
          <w:color w:val="595959" w:themeColor="text1" w:themeTint="A6"/>
          <w:spacing w:val="-15"/>
          <w:sz w:val="20"/>
          <w:szCs w:val="20"/>
          <w:lang w:val="pt-PT"/>
        </w:rPr>
        <w:t xml:space="preserve">especialistas a nível nacional e internacional na respetiva área em que o texto se enquadra ou referencia. Está indexada </w:t>
      </w:r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na base de dados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Scientific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Electronic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Library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Online (http://www.scielo.gpeari.mctes.pt/scielo.php?script=sci_serial&amp;pid=0874-5560&amp;lng=en&amp;nrm=iso), recentemente incluída na Web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of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Science-Thomson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Reuters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SciELO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Citation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</w:t>
      </w:r>
      <w:proofErr w:type="spellStart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>Index</w:t>
      </w:r>
      <w:proofErr w:type="spellEnd"/>
      <w:r w:rsidRPr="00737F7F">
        <w:rPr>
          <w:rFonts w:asciiTheme="majorHAnsi" w:hAnsiTheme="majorHAnsi"/>
          <w:color w:val="595959" w:themeColor="text1" w:themeTint="A6"/>
          <w:sz w:val="20"/>
          <w:szCs w:val="20"/>
          <w:lang w:val="pt-PT"/>
        </w:rPr>
        <w:t xml:space="preserve"> (http://thomsonreuters.com/scielo-citation-index/; </w:t>
      </w:r>
      <w:hyperlink r:id="rId8" w:anchor=".VIA15DGsURo" w:history="1">
        <w:r w:rsidRPr="00737F7F">
          <w:rPr>
            <w:rStyle w:val="Hiperligao"/>
            <w:rFonts w:asciiTheme="majorHAnsi" w:hAnsiTheme="majorHAnsi"/>
            <w:sz w:val="20"/>
            <w:szCs w:val="20"/>
            <w:lang w:val="pt-PT"/>
          </w:rPr>
          <w:t>http://blog.scielo.org/en/2014/02/28/scielo-citation-index-in-the-web-of-science/#.VIA15DGsURo</w:t>
        </w:r>
      </w:hyperlink>
      <w:r w:rsidRPr="00A00A90">
        <w:rPr>
          <w:rFonts w:asciiTheme="majorHAnsi" w:hAnsiTheme="majorHAnsi"/>
          <w:sz w:val="20"/>
          <w:szCs w:val="20"/>
          <w:lang w:val="pt-PT"/>
        </w:rPr>
        <w:t>)</w:t>
      </w:r>
    </w:p>
    <w:p w14:paraId="5EFE9719" w14:textId="77777777" w:rsidR="006368BC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  <w:lang w:val="es-ES"/>
        </w:rPr>
      </w:pPr>
    </w:p>
    <w:p w14:paraId="67F778F0" w14:textId="77777777" w:rsidR="006368BC" w:rsidRPr="00C330ED" w:rsidRDefault="006368BC" w:rsidP="0063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/>
        <w:spacing w:after="0"/>
        <w:jc w:val="both"/>
        <w:rPr>
          <w:rFonts w:ascii="Calibri Light" w:eastAsia="Calibri" w:hAnsi="Calibri Light" w:cs="Times New Roman"/>
          <w:sz w:val="24"/>
          <w:szCs w:val="24"/>
          <w:lang w:val="es-ES"/>
        </w:rPr>
      </w:pP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Além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das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submissões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para os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dossiês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temáticos, a </w:t>
      </w:r>
      <w:r w:rsidRPr="00537395">
        <w:rPr>
          <w:rFonts w:ascii="Calibri Light" w:eastAsia="Calibri" w:hAnsi="Calibri Light" w:cs="Times New Roman"/>
          <w:i/>
          <w:sz w:val="24"/>
          <w:szCs w:val="24"/>
          <w:lang w:val="es-ES"/>
        </w:rPr>
        <w:t xml:space="preserve">ex </w:t>
      </w:r>
      <w:proofErr w:type="spellStart"/>
      <w:r w:rsidRPr="00537395">
        <w:rPr>
          <w:rFonts w:ascii="Calibri Light" w:eastAsia="Calibri" w:hAnsi="Calibri Light" w:cs="Times New Roman"/>
          <w:i/>
          <w:sz w:val="24"/>
          <w:szCs w:val="24"/>
          <w:lang w:val="es-ES"/>
        </w:rPr>
        <w:t>æquo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aceita permanentemente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contributos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para as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secções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de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Estudos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e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Ensaios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 xml:space="preserve"> e </w:t>
      </w:r>
      <w:proofErr w:type="spellStart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Recensões</w:t>
      </w:r>
      <w:proofErr w:type="spellEnd"/>
      <w:r w:rsidRPr="00C330ED">
        <w:rPr>
          <w:rFonts w:ascii="Calibri Light" w:eastAsia="Calibri" w:hAnsi="Calibri Light" w:cs="Times New Roman"/>
          <w:sz w:val="24"/>
          <w:szCs w:val="24"/>
          <w:lang w:val="es-ES"/>
        </w:rPr>
        <w:t>.</w:t>
      </w:r>
    </w:p>
    <w:p w14:paraId="2093BE77" w14:textId="77777777" w:rsidR="006368BC" w:rsidRPr="00A00A90" w:rsidRDefault="006368BC" w:rsidP="00737F7F">
      <w:pPr>
        <w:rPr>
          <w:rFonts w:asciiTheme="majorHAnsi" w:hAnsiTheme="majorHAnsi" w:cs="Times New Roman"/>
          <w:b/>
          <w:sz w:val="24"/>
          <w:szCs w:val="24"/>
          <w:lang w:val="pt-PT"/>
        </w:rPr>
      </w:pPr>
    </w:p>
    <w:p w14:paraId="7FBF1938" w14:textId="77777777" w:rsidR="006368BC" w:rsidRDefault="00476220" w:rsidP="006368BC">
      <w:pPr>
        <w:jc w:val="center"/>
        <w:rPr>
          <w:rFonts w:asciiTheme="majorHAnsi" w:hAnsiTheme="majorHAnsi" w:cs="Times New Roman"/>
          <w:b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b/>
          <w:sz w:val="24"/>
          <w:szCs w:val="24"/>
          <w:lang w:val="pt-PT"/>
        </w:rPr>
        <w:t xml:space="preserve">Apelo a Contributos para </w:t>
      </w:r>
      <w:r w:rsidR="0075691F" w:rsidRPr="00A00A90">
        <w:rPr>
          <w:rFonts w:asciiTheme="majorHAnsi" w:hAnsiTheme="majorHAnsi" w:cs="Times New Roman"/>
          <w:b/>
          <w:sz w:val="24"/>
          <w:szCs w:val="24"/>
          <w:lang w:val="pt-PT"/>
        </w:rPr>
        <w:t>o dossiê temático d</w:t>
      </w:r>
      <w:r w:rsidRPr="00A00A90">
        <w:rPr>
          <w:rFonts w:asciiTheme="majorHAnsi" w:hAnsiTheme="majorHAnsi" w:cs="Times New Roman"/>
          <w:b/>
          <w:sz w:val="24"/>
          <w:szCs w:val="24"/>
          <w:lang w:val="pt-PT"/>
        </w:rPr>
        <w:t xml:space="preserve">o N.º 33 </w:t>
      </w:r>
    </w:p>
    <w:p w14:paraId="678B3B59" w14:textId="55E9E458" w:rsidR="00476220" w:rsidRPr="00A00A90" w:rsidRDefault="006368BC" w:rsidP="006368BC">
      <w:pPr>
        <w:jc w:val="center"/>
        <w:rPr>
          <w:rFonts w:asciiTheme="majorHAnsi" w:hAnsiTheme="majorHAnsi" w:cs="Times New Roman"/>
          <w:b/>
          <w:sz w:val="24"/>
          <w:szCs w:val="24"/>
          <w:lang w:val="pt-PT"/>
        </w:rPr>
      </w:pPr>
      <w:r>
        <w:rPr>
          <w:rFonts w:asciiTheme="majorHAnsi" w:hAnsiTheme="majorHAnsi" w:cs="Times New Roman"/>
          <w:b/>
          <w:sz w:val="24"/>
          <w:szCs w:val="24"/>
          <w:lang w:val="pt-PT"/>
        </w:rPr>
        <w:t>Prazo – 30 de setembro</w:t>
      </w: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  <w:lang w:val="pt-PT"/>
        </w:rPr>
        <w:t xml:space="preserve"> (a publicar em </w:t>
      </w:r>
      <w:r w:rsidR="00B12938">
        <w:rPr>
          <w:rFonts w:asciiTheme="majorHAnsi" w:hAnsiTheme="majorHAnsi" w:cs="Times New Roman"/>
          <w:b/>
          <w:sz w:val="24"/>
          <w:szCs w:val="24"/>
          <w:lang w:val="pt-PT"/>
        </w:rPr>
        <w:t>a</w:t>
      </w:r>
      <w:r w:rsidR="00A00A90" w:rsidRPr="00A00A90">
        <w:rPr>
          <w:rFonts w:asciiTheme="majorHAnsi" w:hAnsiTheme="majorHAnsi" w:cs="Times New Roman"/>
          <w:b/>
          <w:sz w:val="24"/>
          <w:szCs w:val="24"/>
          <w:lang w:val="pt-PT"/>
        </w:rPr>
        <w:t>bril 2016)</w:t>
      </w:r>
    </w:p>
    <w:p w14:paraId="151B5961" w14:textId="290FDCCC" w:rsidR="00A00A90" w:rsidRPr="00A00A90" w:rsidRDefault="00476220" w:rsidP="006368B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b/>
          <w:sz w:val="24"/>
          <w:szCs w:val="24"/>
          <w:lang w:val="pt-PT"/>
        </w:rPr>
        <w:t xml:space="preserve">- </w:t>
      </w:r>
      <w:r w:rsidR="00A00A90" w:rsidRPr="00A00A90">
        <w:rPr>
          <w:rFonts w:asciiTheme="majorHAnsi" w:hAnsiTheme="majorHAnsi" w:cs="Times New Roman"/>
          <w:b/>
          <w:sz w:val="24"/>
          <w:szCs w:val="24"/>
          <w:lang w:val="pt-PT"/>
        </w:rPr>
        <w:t>“GÉNERO, PROFISSÕES E CARREIRAS:</w:t>
      </w:r>
    </w:p>
    <w:p w14:paraId="6370BB6B" w14:textId="1E2CA27C" w:rsidR="00476220" w:rsidRPr="00A00A90" w:rsidRDefault="00A00A90" w:rsidP="006368BC">
      <w:pPr>
        <w:jc w:val="center"/>
        <w:rPr>
          <w:rFonts w:asciiTheme="majorHAnsi" w:hAnsiTheme="majorHAnsi" w:cs="Times New Roman"/>
          <w:b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b/>
          <w:sz w:val="24"/>
          <w:szCs w:val="24"/>
          <w:lang w:val="pt-PT"/>
        </w:rPr>
        <w:t>OPORTUNIDADES, CONSTRANGIMENTOS E DESAFIOS”</w:t>
      </w:r>
    </w:p>
    <w:p w14:paraId="679D5E65" w14:textId="72A232E4" w:rsidR="00922960" w:rsidRPr="00E1509A" w:rsidRDefault="00922960" w:rsidP="00A00A90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lang w:val="pt-PT"/>
        </w:rPr>
      </w:pPr>
      <w:r w:rsidRPr="00A00A90">
        <w:rPr>
          <w:rFonts w:asciiTheme="majorHAnsi" w:hAnsiTheme="majorHAnsi" w:cs="Arial"/>
          <w:color w:val="222222"/>
          <w:sz w:val="19"/>
          <w:szCs w:val="19"/>
          <w:lang w:val="pt-PT"/>
        </w:rPr>
        <w:br/>
      </w:r>
      <w:r w:rsidR="00A00A90" w:rsidRPr="00E1509A">
        <w:rPr>
          <w:rFonts w:asciiTheme="majorHAnsi" w:hAnsiTheme="majorHAnsi" w:cs="Arial"/>
          <w:b/>
          <w:color w:val="222222"/>
          <w:shd w:val="clear" w:color="auto" w:fill="FFFFFF"/>
          <w:lang w:val="pt-PT"/>
        </w:rPr>
        <w:t>Coordenam o dossiê temático</w:t>
      </w:r>
      <w:r w:rsidRPr="00E1509A">
        <w:rPr>
          <w:rFonts w:asciiTheme="majorHAnsi" w:hAnsiTheme="majorHAnsi" w:cs="Arial"/>
          <w:b/>
          <w:color w:val="222222"/>
          <w:shd w:val="clear" w:color="auto" w:fill="FFFFFF"/>
          <w:lang w:val="pt-PT"/>
        </w:rPr>
        <w:t>:</w:t>
      </w:r>
      <w:r w:rsidRPr="00E1509A">
        <w:rPr>
          <w:rFonts w:asciiTheme="majorHAnsi" w:hAnsiTheme="majorHAnsi" w:cs="Arial"/>
          <w:b/>
          <w:color w:val="222222"/>
          <w:lang w:val="pt-PT"/>
        </w:rPr>
        <w:br/>
      </w:r>
      <w:r w:rsidRPr="00E1509A">
        <w:rPr>
          <w:rFonts w:asciiTheme="majorHAnsi" w:hAnsiTheme="majorHAnsi" w:cs="Arial"/>
          <w:b/>
          <w:color w:val="222222"/>
          <w:lang w:val="pt-PT"/>
        </w:rPr>
        <w:br/>
      </w:r>
      <w:r w:rsidRPr="00E1509A">
        <w:rPr>
          <w:rFonts w:asciiTheme="majorHAnsi" w:hAnsiTheme="majorHAnsi" w:cs="Arial"/>
          <w:b/>
          <w:color w:val="222222"/>
          <w:shd w:val="clear" w:color="auto" w:fill="FFFFFF"/>
          <w:lang w:val="pt-PT"/>
        </w:rPr>
        <w:t xml:space="preserve">Gina Santos, Universidade do Minho </w:t>
      </w:r>
      <w:r w:rsidRPr="00E1509A">
        <w:rPr>
          <w:rFonts w:asciiTheme="majorHAnsi" w:hAnsiTheme="majorHAnsi" w:cs="Arial"/>
          <w:color w:val="222222"/>
          <w:shd w:val="clear" w:color="auto" w:fill="FFFFFF"/>
          <w:lang w:val="pt-PT"/>
        </w:rPr>
        <w:t>(gaiogina@eeg.uminho.pt)</w:t>
      </w:r>
    </w:p>
    <w:p w14:paraId="4C90890D" w14:textId="405039D7" w:rsidR="00922960" w:rsidRPr="00E1509A" w:rsidRDefault="00922960" w:rsidP="00922960">
      <w:pPr>
        <w:rPr>
          <w:rFonts w:asciiTheme="majorHAnsi" w:hAnsiTheme="majorHAnsi"/>
          <w:b/>
          <w:sz w:val="24"/>
          <w:szCs w:val="24"/>
          <w:lang w:val="pt-PT"/>
        </w:rPr>
      </w:pPr>
      <w:r w:rsidRPr="00E1509A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  <w:lang w:val="pt-PT"/>
        </w:rPr>
        <w:t xml:space="preserve">Teresa Carvalho, Universidade de Aveiro </w:t>
      </w:r>
      <w:r w:rsidRPr="00E1509A"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pt-PT"/>
        </w:rPr>
        <w:t>(teresa.carvalho@ua.pt)</w:t>
      </w:r>
    </w:p>
    <w:p w14:paraId="6786D3EB" w14:textId="430445B3" w:rsidR="00922960" w:rsidRPr="00737F7F" w:rsidRDefault="00922960" w:rsidP="00922960">
      <w:pPr>
        <w:jc w:val="both"/>
        <w:rPr>
          <w:rFonts w:asciiTheme="majorHAnsi" w:hAnsiTheme="majorHAnsi" w:cs="Times New Roman"/>
          <w:i/>
          <w:sz w:val="24"/>
          <w:szCs w:val="24"/>
          <w:lang w:val="pt-PT"/>
        </w:rPr>
      </w:pPr>
      <w:r w:rsidRPr="00737F7F">
        <w:rPr>
          <w:rFonts w:asciiTheme="majorHAnsi" w:hAnsiTheme="majorHAnsi" w:cs="Times New Roman"/>
          <w:i/>
          <w:sz w:val="24"/>
          <w:szCs w:val="24"/>
          <w:lang w:val="pt-PT"/>
        </w:rPr>
        <w:t xml:space="preserve">Apelo a Contributos: </w:t>
      </w:r>
    </w:p>
    <w:p w14:paraId="50F4EF41" w14:textId="78923301" w:rsidR="003B2E27" w:rsidRPr="00A00A90" w:rsidRDefault="007E3B39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profissões e os grupos profissionais 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>est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>ão expostos nas sociedades contemporâneas a um conjunto de desafios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diversos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>. Desde logo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destacam-se as alterações no papel do </w:t>
      </w:r>
      <w:r w:rsidR="00A74B9F" w:rsidRPr="00A00A90">
        <w:rPr>
          <w:rFonts w:asciiTheme="majorHAnsi" w:hAnsiTheme="majorHAnsi" w:cs="Times New Roman"/>
          <w:sz w:val="24"/>
          <w:szCs w:val="24"/>
          <w:lang w:val="pt-PT"/>
        </w:rPr>
        <w:t>E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stado na sociedade, que se afasta crescentemente de uma atitude protecionista, substituindo os seus modos tradicionais de regulação. Não menos importantes são 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os efeitos de uma globalização galopante, traduzida na existência de um mercado de 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>trabalho cada vez mais internacional. A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s mudanças na organização 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social </w:t>
      </w:r>
      <w:r w:rsidR="0098573A" w:rsidRPr="00A00A90">
        <w:rPr>
          <w:rFonts w:asciiTheme="majorHAnsi" w:hAnsiTheme="majorHAnsi" w:cs="Times New Roman"/>
          <w:sz w:val="24"/>
          <w:szCs w:val="24"/>
          <w:lang w:val="pt-PT"/>
        </w:rPr>
        <w:t>do trabalho potenciadas por uma complexificação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da divisão do trabalho traduzem, por seu lado, o proliferar de novas profissões que resultam </w:t>
      </w:r>
      <w:r w:rsidR="00A74B9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em 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emaranhadas linhas de subalternização e </w:t>
      </w:r>
      <w:proofErr w:type="spellStart"/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>co-dependência</w:t>
      </w:r>
      <w:proofErr w:type="spellEnd"/>
      <w:r w:rsidR="00A74B9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entre os diferentes grupos</w:t>
      </w:r>
      <w:r w:rsidR="006C3573" w:rsidRPr="00A00A90">
        <w:rPr>
          <w:rFonts w:asciiTheme="majorHAnsi" w:hAnsiTheme="majorHAnsi" w:cs="Times New Roman"/>
          <w:sz w:val="24"/>
          <w:szCs w:val="24"/>
          <w:lang w:val="pt-PT"/>
        </w:rPr>
        <w:t>.</w:t>
      </w:r>
      <w:r w:rsidR="00A74B9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Simultaneamente, o desenvolvimento e crescente uso das novas tecnologias é, muitas vezes, assumido como resultando em processos de desqualificação e até proletarização dos profissionais</w:t>
      </w:r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</w:t>
      </w:r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Carvalho, 2012, 2014; Carvalho </w:t>
      </w:r>
      <w:proofErr w:type="spellStart"/>
      <w:r w:rsidR="00C839F7" w:rsidRPr="00A00A90">
        <w:rPr>
          <w:rFonts w:asciiTheme="majorHAnsi" w:hAnsiTheme="majorHAnsi" w:cs="Times New Roman"/>
          <w:i/>
          <w:sz w:val="24"/>
          <w:szCs w:val="24"/>
          <w:lang w:val="pt-PT"/>
        </w:rPr>
        <w:t>et</w:t>
      </w:r>
      <w:proofErr w:type="spellEnd"/>
      <w:r w:rsidR="00C839F7" w:rsidRPr="00A00A90">
        <w:rPr>
          <w:rFonts w:asciiTheme="majorHAnsi" w:hAnsiTheme="majorHAnsi" w:cs="Times New Roman"/>
          <w:i/>
          <w:sz w:val="24"/>
          <w:szCs w:val="24"/>
          <w:lang w:val="pt-PT"/>
        </w:rPr>
        <w:t xml:space="preserve"> al.</w:t>
      </w:r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2013; </w:t>
      </w:r>
      <w:proofErr w:type="spellStart"/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>Evetts</w:t>
      </w:r>
      <w:proofErr w:type="spellEnd"/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2003; </w:t>
      </w:r>
      <w:proofErr w:type="spellStart"/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>Freidon</w:t>
      </w:r>
      <w:proofErr w:type="spellEnd"/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2001; </w:t>
      </w:r>
      <w:proofErr w:type="spellStart"/>
      <w:r w:rsidR="00163C7C" w:rsidRPr="00A00A90">
        <w:rPr>
          <w:rFonts w:asciiTheme="majorHAnsi" w:hAnsiTheme="majorHAnsi" w:cs="Times New Roman"/>
          <w:sz w:val="24"/>
          <w:szCs w:val="24"/>
          <w:lang w:val="pt-PT"/>
        </w:rPr>
        <w:t>Kirkpatrick</w:t>
      </w:r>
      <w:proofErr w:type="spellEnd"/>
      <w:r w:rsidR="00163C7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spellStart"/>
      <w:r w:rsidR="00C839F7" w:rsidRPr="00A00A90">
        <w:rPr>
          <w:rFonts w:asciiTheme="majorHAnsi" w:hAnsiTheme="majorHAnsi" w:cs="Times New Roman"/>
          <w:i/>
          <w:sz w:val="24"/>
          <w:szCs w:val="24"/>
          <w:lang w:val="pt-PT"/>
        </w:rPr>
        <w:t>et</w:t>
      </w:r>
      <w:proofErr w:type="spellEnd"/>
      <w:r w:rsidR="00C839F7" w:rsidRPr="00A00A90">
        <w:rPr>
          <w:rFonts w:asciiTheme="majorHAnsi" w:hAnsiTheme="majorHAnsi" w:cs="Times New Roman"/>
          <w:i/>
          <w:sz w:val="24"/>
          <w:szCs w:val="24"/>
          <w:lang w:val="pt-PT"/>
        </w:rPr>
        <w:t xml:space="preserve"> al.</w:t>
      </w:r>
      <w:r w:rsidR="00163C7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2005; </w:t>
      </w:r>
      <w:proofErr w:type="spellStart"/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>Kuhlmann</w:t>
      </w:r>
      <w:proofErr w:type="spellEnd"/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EE16C0" w:rsidRPr="00A00A90">
        <w:rPr>
          <w:rFonts w:asciiTheme="majorHAnsi" w:hAnsiTheme="majorHAnsi" w:cs="Times New Roman"/>
          <w:sz w:val="24"/>
          <w:szCs w:val="24"/>
          <w:lang w:val="pt-PT"/>
        </w:rPr>
        <w:t>&amp;</w:t>
      </w:r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spellStart"/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>Saks</w:t>
      </w:r>
      <w:proofErr w:type="spellEnd"/>
      <w:r w:rsidR="00074C15" w:rsidRPr="00A00A90">
        <w:rPr>
          <w:rFonts w:asciiTheme="majorHAnsi" w:hAnsiTheme="majorHAnsi" w:cs="Times New Roman"/>
          <w:sz w:val="24"/>
          <w:szCs w:val="24"/>
          <w:lang w:val="pt-PT"/>
        </w:rPr>
        <w:t>, 2008</w:t>
      </w:r>
      <w:r w:rsidR="002B3165" w:rsidRPr="00A00A90">
        <w:rPr>
          <w:rFonts w:asciiTheme="majorHAnsi" w:hAnsiTheme="majorHAnsi" w:cs="Times New Roman"/>
          <w:sz w:val="24"/>
          <w:szCs w:val="24"/>
          <w:lang w:val="pt-PT"/>
        </w:rPr>
        <w:t>)</w:t>
      </w:r>
      <w:r w:rsidR="007B0A3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. </w:t>
      </w:r>
    </w:p>
    <w:p w14:paraId="118FAF55" w14:textId="5DF7E229" w:rsidR="00A74B9F" w:rsidRPr="00A00A90" w:rsidRDefault="007B0A34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Para a emergência destes processos terá contribuído, também, a crescente massificação </w:t>
      </w:r>
      <w:r w:rsidR="00260C51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 feminização 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do ensino superior</w:t>
      </w:r>
      <w:r w:rsidR="001438BE" w:rsidRPr="00A00A90">
        <w:rPr>
          <w:rFonts w:asciiTheme="majorHAnsi" w:hAnsiTheme="majorHAnsi" w:cs="Times New Roman"/>
          <w:sz w:val="24"/>
          <w:szCs w:val="24"/>
          <w:lang w:val="pt-PT"/>
        </w:rPr>
        <w:t>. As reformas introduzidas pelo</w:t>
      </w:r>
      <w:r w:rsidR="008C37A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processo de Bolonha, no contexto europeu, </w:t>
      </w:r>
      <w:r w:rsidR="008533BD" w:rsidRPr="00A00A90">
        <w:rPr>
          <w:rFonts w:asciiTheme="majorHAnsi" w:hAnsiTheme="majorHAnsi" w:cs="Times New Roman"/>
          <w:sz w:val="24"/>
          <w:szCs w:val="24"/>
          <w:lang w:val="pt-PT"/>
        </w:rPr>
        <w:t>apesar do enfoque</w:t>
      </w:r>
      <w:r w:rsidR="008C37A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do ensino superior</w:t>
      </w:r>
      <w:r w:rsidR="008533B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n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a </w:t>
      </w:r>
      <w:r w:rsidR="00C83FC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promoção da 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empregabilidade dos/as graduados/as, </w:t>
      </w:r>
      <w:r w:rsidR="008533BD" w:rsidRPr="00A00A90">
        <w:rPr>
          <w:rFonts w:asciiTheme="majorHAnsi" w:hAnsiTheme="majorHAnsi" w:cs="Times New Roman"/>
          <w:sz w:val="24"/>
          <w:szCs w:val="24"/>
          <w:lang w:val="pt-PT"/>
        </w:rPr>
        <w:t>têm resultado n</w:t>
      </w:r>
      <w:r w:rsidR="00697322" w:rsidRPr="00A00A90">
        <w:rPr>
          <w:rFonts w:asciiTheme="majorHAnsi" w:hAnsiTheme="majorHAnsi" w:cs="Times New Roman"/>
          <w:sz w:val="24"/>
          <w:szCs w:val="24"/>
          <w:lang w:val="pt-PT"/>
        </w:rPr>
        <w:t>a</w:t>
      </w:r>
      <w:r w:rsidR="008C37A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desvalorização das credenciais académicas no mercado de trabalho</w:t>
      </w:r>
      <w:r w:rsidR="00C83FC3" w:rsidRPr="00A00A90">
        <w:rPr>
          <w:rFonts w:asciiTheme="majorHAnsi" w:hAnsiTheme="majorHAnsi" w:cs="Times New Roman"/>
          <w:sz w:val="24"/>
          <w:szCs w:val="24"/>
          <w:lang w:val="pt-PT"/>
        </w:rPr>
        <w:t>;</w:t>
      </w:r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ao mesmo tempo que o discurso da empregabilidade </w:t>
      </w:r>
      <w:r w:rsidR="001438B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continua a 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>ignora</w:t>
      </w:r>
      <w:r w:rsidR="001438BE" w:rsidRPr="00A00A90">
        <w:rPr>
          <w:rFonts w:asciiTheme="majorHAnsi" w:hAnsiTheme="majorHAnsi" w:cs="Times New Roman"/>
          <w:sz w:val="24"/>
          <w:szCs w:val="24"/>
          <w:lang w:val="pt-PT"/>
        </w:rPr>
        <w:t>r</w:t>
      </w:r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>a</w:t>
      </w:r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persistência de desigualdades de género numa sociedade orientada para o conhecimento</w:t>
      </w:r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onde </w:t>
      </w:r>
      <w:r w:rsidR="00F31603" w:rsidRPr="00A00A90">
        <w:rPr>
          <w:rFonts w:asciiTheme="majorHAnsi" w:hAnsiTheme="majorHAnsi" w:cs="Times New Roman"/>
          <w:sz w:val="24"/>
          <w:szCs w:val="24"/>
          <w:lang w:val="pt-PT"/>
        </w:rPr>
        <w:t>se enfatiza crescentemente a res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ponsabilidade individual </w:t>
      </w:r>
      <w:r w:rsidR="00F95565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na autogestão da carreira e </w:t>
      </w:r>
      <w:r w:rsidR="00F31603" w:rsidRPr="00A00A90">
        <w:rPr>
          <w:rFonts w:asciiTheme="majorHAnsi" w:hAnsiTheme="majorHAnsi" w:cs="Times New Roman"/>
          <w:sz w:val="24"/>
          <w:szCs w:val="24"/>
          <w:lang w:val="pt-PT"/>
        </w:rPr>
        <w:t>empregabilidade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(Brown, </w:t>
      </w:r>
      <w:proofErr w:type="spellStart"/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>Hesketh</w:t>
      </w:r>
      <w:proofErr w:type="spellEnd"/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</w:t>
      </w:r>
      <w:r w:rsidR="00EE16C0" w:rsidRPr="00A00A90">
        <w:rPr>
          <w:rFonts w:asciiTheme="majorHAnsi" w:hAnsiTheme="majorHAnsi" w:cs="Times New Roman"/>
          <w:sz w:val="24"/>
          <w:szCs w:val="24"/>
          <w:lang w:val="pt-PT"/>
        </w:rPr>
        <w:t>&amp;</w:t>
      </w:r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Williams, 2003; </w:t>
      </w:r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Moreau &amp; </w:t>
      </w:r>
      <w:proofErr w:type="spellStart"/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>Leathwood</w:t>
      </w:r>
      <w:proofErr w:type="spellEnd"/>
      <w:r w:rsidR="00954E7F" w:rsidRPr="00A00A90">
        <w:rPr>
          <w:rFonts w:asciiTheme="majorHAnsi" w:hAnsiTheme="majorHAnsi" w:cs="Times New Roman"/>
          <w:sz w:val="24"/>
          <w:szCs w:val="24"/>
          <w:lang w:val="pt-PT"/>
        </w:rPr>
        <w:t>, 2006</w:t>
      </w:r>
      <w:r w:rsidR="00FF7EF8" w:rsidRPr="00A00A90">
        <w:rPr>
          <w:rFonts w:asciiTheme="majorHAnsi" w:hAnsiTheme="majorHAnsi" w:cs="Times New Roman"/>
          <w:sz w:val="24"/>
          <w:szCs w:val="24"/>
          <w:lang w:val="pt-PT"/>
        </w:rPr>
        <w:t>)</w:t>
      </w:r>
      <w:r w:rsidR="008C37AB" w:rsidRPr="00A00A90">
        <w:rPr>
          <w:rFonts w:asciiTheme="majorHAnsi" w:hAnsiTheme="majorHAnsi" w:cs="Times New Roman"/>
          <w:sz w:val="24"/>
          <w:szCs w:val="24"/>
          <w:lang w:val="pt-PT"/>
        </w:rPr>
        <w:t>.</w:t>
      </w:r>
      <w:r w:rsidR="00D47E6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</w:p>
    <w:p w14:paraId="438643DD" w14:textId="7EDF73DA" w:rsidR="00C37A5C" w:rsidRPr="00A00A90" w:rsidRDefault="002B3165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Estritamente ligad</w:t>
      </w:r>
      <w:r w:rsidR="000433E2" w:rsidRPr="00A00A90">
        <w:rPr>
          <w:rFonts w:asciiTheme="majorHAnsi" w:hAnsiTheme="majorHAnsi" w:cs="Times New Roman"/>
          <w:sz w:val="24"/>
          <w:szCs w:val="24"/>
          <w:lang w:val="pt-PT"/>
        </w:rPr>
        <w:t>o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à noção de profissão está, também, o conceito de carreira. </w:t>
      </w:r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Tradicionalmente o termo carreira </w:t>
      </w:r>
      <w:r w:rsidR="00F54728" w:rsidRPr="00A00A90">
        <w:rPr>
          <w:rFonts w:asciiTheme="majorHAnsi" w:hAnsiTheme="majorHAnsi" w:cs="Times New Roman"/>
          <w:sz w:val="24"/>
          <w:szCs w:val="24"/>
          <w:lang w:val="pt-PT"/>
        </w:rPr>
        <w:t>foi</w:t>
      </w:r>
      <w:r w:rsidR="00463C4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utilizado</w:t>
      </w:r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para descrever a progressã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o linear dentro de uma profissão </w:t>
      </w:r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>ou organização implicando o aumento de responsabilidades e recompensas à</w:t>
      </w:r>
      <w:r w:rsidR="00F5472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medida que se </w:t>
      </w:r>
      <w:r w:rsidR="00C820E0" w:rsidRPr="00A00A90">
        <w:rPr>
          <w:rFonts w:asciiTheme="majorHAnsi" w:hAnsiTheme="majorHAnsi" w:cs="Times New Roman"/>
          <w:sz w:val="24"/>
          <w:szCs w:val="24"/>
          <w:lang w:val="pt-PT"/>
        </w:rPr>
        <w:t>iam percorrendo</w:t>
      </w:r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a hierarquia organizacional </w:t>
      </w:r>
      <w:r w:rsidR="00E97206" w:rsidRPr="00A00A90">
        <w:rPr>
          <w:rFonts w:asciiTheme="majorHAnsi" w:hAnsiTheme="majorHAnsi" w:cs="Times New Roman"/>
          <w:sz w:val="24"/>
          <w:szCs w:val="24"/>
          <w:lang w:val="pt-PT"/>
        </w:rPr>
        <w:t>ou profissional</w:t>
      </w:r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</w:t>
      </w:r>
      <w:proofErr w:type="spellStart"/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>Schein</w:t>
      </w:r>
      <w:proofErr w:type="spellEnd"/>
      <w:r w:rsidR="00663F6A" w:rsidRPr="00A00A90">
        <w:rPr>
          <w:rFonts w:asciiTheme="majorHAnsi" w:hAnsiTheme="majorHAnsi" w:cs="Times New Roman"/>
          <w:sz w:val="24"/>
          <w:szCs w:val="24"/>
          <w:lang w:val="pt-PT"/>
        </w:rPr>
        <w:t>, 1971). No entanto, a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s carreiras profissionais das mulheres sempre </w:t>
      </w:r>
      <w:r w:rsidR="00E461D3" w:rsidRPr="00A00A90">
        <w:rPr>
          <w:rFonts w:asciiTheme="majorHAnsi" w:hAnsiTheme="majorHAnsi" w:cs="Times New Roman"/>
          <w:sz w:val="24"/>
          <w:szCs w:val="24"/>
          <w:lang w:val="pt-PT"/>
        </w:rPr>
        <w:t>conheceram</w:t>
      </w:r>
      <w:r w:rsidR="004F5C4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>especificidades</w:t>
      </w:r>
      <w:r w:rsidR="009D79E2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 assumiram um desenvolvimento mais fragmentado e menos linear</w:t>
      </w:r>
      <w:r w:rsidR="008361A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sendo frequentemente descritas na literatura como mais diversificadas e multipolares </w:t>
      </w:r>
      <w:r w:rsidR="004F5C4D" w:rsidRPr="00A00A90">
        <w:rPr>
          <w:rFonts w:asciiTheme="majorHAnsi" w:hAnsiTheme="majorHAnsi" w:cs="Times New Roman"/>
          <w:sz w:val="24"/>
          <w:szCs w:val="24"/>
          <w:lang w:val="pt-PT"/>
        </w:rPr>
        <w:t>do que as carreiras masculinas</w:t>
      </w:r>
      <w:r w:rsidR="00E97206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</w:t>
      </w:r>
      <w:proofErr w:type="spellStart"/>
      <w:r w:rsidR="00E97206" w:rsidRPr="00A00A90">
        <w:rPr>
          <w:rFonts w:asciiTheme="majorHAnsi" w:hAnsiTheme="majorHAnsi" w:cs="Times New Roman"/>
          <w:sz w:val="24"/>
          <w:szCs w:val="24"/>
          <w:lang w:val="pt-PT"/>
        </w:rPr>
        <w:t>Guest</w:t>
      </w:r>
      <w:proofErr w:type="spellEnd"/>
      <w:r w:rsidR="00E97206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EE16C0" w:rsidRPr="00A00A90">
        <w:rPr>
          <w:rFonts w:asciiTheme="majorHAnsi" w:hAnsiTheme="majorHAnsi" w:cs="Times New Roman"/>
          <w:sz w:val="24"/>
          <w:szCs w:val="24"/>
          <w:lang w:val="pt-PT"/>
        </w:rPr>
        <w:t>&amp;</w:t>
      </w:r>
      <w:r w:rsidR="004A557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spellStart"/>
      <w:r w:rsidR="004A5577" w:rsidRPr="00A00A90">
        <w:rPr>
          <w:rFonts w:asciiTheme="majorHAnsi" w:hAnsiTheme="majorHAnsi" w:cs="Times New Roman"/>
          <w:sz w:val="24"/>
          <w:szCs w:val="24"/>
          <w:lang w:val="pt-PT"/>
        </w:rPr>
        <w:t>Sturges</w:t>
      </w:r>
      <w:proofErr w:type="spellEnd"/>
      <w:r w:rsidR="004A5577" w:rsidRPr="00A00A90">
        <w:rPr>
          <w:rFonts w:asciiTheme="majorHAnsi" w:hAnsiTheme="majorHAnsi" w:cs="Times New Roman"/>
          <w:sz w:val="24"/>
          <w:szCs w:val="24"/>
          <w:lang w:val="pt-PT"/>
        </w:rPr>
        <w:t>, 2007</w:t>
      </w:r>
      <w:r w:rsidR="001762B1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; </w:t>
      </w:r>
      <w:proofErr w:type="spellStart"/>
      <w:r w:rsidR="001762B1" w:rsidRPr="00A00A90">
        <w:rPr>
          <w:rFonts w:asciiTheme="majorHAnsi" w:hAnsiTheme="majorHAnsi" w:cs="Times New Roman"/>
          <w:sz w:val="24"/>
          <w:szCs w:val="24"/>
          <w:lang w:val="pt-PT"/>
        </w:rPr>
        <w:t>Roberts</w:t>
      </w:r>
      <w:proofErr w:type="spellEnd"/>
      <w:r w:rsidR="001762B1" w:rsidRPr="00A00A90">
        <w:rPr>
          <w:rFonts w:asciiTheme="majorHAnsi" w:hAnsiTheme="majorHAnsi" w:cs="Times New Roman"/>
          <w:sz w:val="24"/>
          <w:szCs w:val="24"/>
          <w:lang w:val="pt-PT"/>
        </w:rPr>
        <w:t>, 2008</w:t>
      </w:r>
      <w:r w:rsidR="004A5577" w:rsidRPr="00A00A90">
        <w:rPr>
          <w:rFonts w:asciiTheme="majorHAnsi" w:hAnsiTheme="majorHAnsi" w:cs="Times New Roman"/>
          <w:sz w:val="24"/>
          <w:szCs w:val="24"/>
          <w:lang w:val="pt-PT"/>
        </w:rPr>
        <w:t>)</w:t>
      </w:r>
      <w:r w:rsidR="00AD24E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. </w:t>
      </w:r>
      <w:r w:rsidR="00C820E0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Tradicionalmente, e apesar de todas as transformações das últimas décadas, a gestão da esfera familiar e pessoal continua a ser uma responsabilidade essencialmente da mulher, mesmo em carreiras profissionais muito exigentes, como é o caso da profissão académica </w:t>
      </w:r>
      <w:r w:rsidR="00935B93" w:rsidRPr="00A00A90">
        <w:rPr>
          <w:rFonts w:asciiTheme="majorHAnsi" w:hAnsiTheme="majorHAnsi" w:cs="Times New Roman"/>
          <w:sz w:val="24"/>
          <w:szCs w:val="24"/>
          <w:lang w:val="pt-PT"/>
        </w:rPr>
        <w:t>(Santos, 2015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). </w:t>
      </w:r>
      <w:r w:rsidR="001242F9" w:rsidRPr="00A00A90">
        <w:rPr>
          <w:rFonts w:asciiTheme="majorHAnsi" w:hAnsiTheme="majorHAnsi" w:cs="Times New Roman"/>
          <w:sz w:val="24"/>
          <w:szCs w:val="24"/>
          <w:lang w:val="pt-PT"/>
        </w:rPr>
        <w:t>Porém</w:t>
      </w:r>
      <w:r w:rsidR="00C820E0" w:rsidRPr="00A00A90">
        <w:rPr>
          <w:rFonts w:asciiTheme="majorHAnsi" w:hAnsiTheme="majorHAnsi" w:cs="Times New Roman"/>
          <w:sz w:val="24"/>
          <w:szCs w:val="24"/>
          <w:lang w:val="pt-PT"/>
        </w:rPr>
        <w:t>, a</w:t>
      </w:r>
      <w:r w:rsidR="004F5C4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crescente participação das mulheres no mundo das profissões e, em particular, </w:t>
      </w:r>
      <w:r w:rsidR="00211C08" w:rsidRPr="00A00A90">
        <w:rPr>
          <w:rFonts w:asciiTheme="majorHAnsi" w:hAnsiTheme="majorHAnsi" w:cs="Times New Roman"/>
          <w:sz w:val="24"/>
          <w:szCs w:val="24"/>
          <w:lang w:val="pt-PT"/>
        </w:rPr>
        <w:t>n</w:t>
      </w:r>
      <w:r w:rsidR="004F5C4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aquelas altamente qualificadas, </w:t>
      </w:r>
      <w:r w:rsidR="0022019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tem </w:t>
      </w:r>
      <w:r w:rsidR="00211C08" w:rsidRPr="00A00A90">
        <w:rPr>
          <w:rFonts w:asciiTheme="majorHAnsi" w:hAnsiTheme="majorHAnsi" w:cs="Times New Roman"/>
          <w:sz w:val="24"/>
          <w:szCs w:val="24"/>
          <w:lang w:val="pt-PT"/>
        </w:rPr>
        <w:t>sido alvo de escassa investigação quanto às alterações nos padrões de car</w:t>
      </w:r>
      <w:r w:rsidR="00C820E0" w:rsidRPr="00A00A90">
        <w:rPr>
          <w:rFonts w:asciiTheme="majorHAnsi" w:hAnsiTheme="majorHAnsi" w:cs="Times New Roman"/>
          <w:sz w:val="24"/>
          <w:szCs w:val="24"/>
          <w:lang w:val="pt-PT"/>
        </w:rPr>
        <w:t>reira</w:t>
      </w:r>
      <w:r w:rsidR="00211C08" w:rsidRPr="00A00A90">
        <w:rPr>
          <w:rFonts w:asciiTheme="majorHAnsi" w:hAnsiTheme="majorHAnsi" w:cs="Times New Roman"/>
          <w:sz w:val="24"/>
          <w:szCs w:val="24"/>
          <w:lang w:val="pt-PT"/>
        </w:rPr>
        <w:t>, nomeadamente n</w:t>
      </w:r>
      <w:r w:rsidR="000D21BD" w:rsidRPr="00A00A90">
        <w:rPr>
          <w:rFonts w:asciiTheme="majorHAnsi" w:hAnsiTheme="majorHAnsi" w:cs="Times New Roman"/>
          <w:sz w:val="24"/>
          <w:szCs w:val="24"/>
          <w:lang w:val="pt-PT"/>
        </w:rPr>
        <w:t>o que se refere à influência de</w:t>
      </w:r>
      <w:r w:rsidR="00211C0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fatores contextuais</w:t>
      </w:r>
      <w:r w:rsidR="007E661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 </w:t>
      </w:r>
      <w:r w:rsidR="00AF3273" w:rsidRPr="00A00A90">
        <w:rPr>
          <w:rFonts w:asciiTheme="majorHAnsi" w:hAnsiTheme="majorHAnsi" w:cs="Times New Roman"/>
          <w:sz w:val="24"/>
          <w:szCs w:val="24"/>
          <w:lang w:val="pt-PT"/>
        </w:rPr>
        <w:t>culturais</w:t>
      </w:r>
      <w:r w:rsidR="00211C0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nas escolhas </w:t>
      </w:r>
      <w:r w:rsidR="0022019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 percursos </w:t>
      </w:r>
      <w:r w:rsidR="000D21BD" w:rsidRPr="00A00A90">
        <w:rPr>
          <w:rFonts w:asciiTheme="majorHAnsi" w:hAnsiTheme="majorHAnsi" w:cs="Times New Roman"/>
          <w:sz w:val="24"/>
          <w:szCs w:val="24"/>
          <w:lang w:val="pt-PT"/>
        </w:rPr>
        <w:t>de carreira</w:t>
      </w:r>
      <w:r w:rsidR="00CF236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profissional</w:t>
      </w:r>
      <w:r w:rsidR="001242F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das mulheres </w:t>
      </w:r>
      <w:r w:rsidR="00CF2363" w:rsidRPr="00A00A90">
        <w:rPr>
          <w:rFonts w:asciiTheme="majorHAnsi" w:hAnsiTheme="majorHAnsi" w:cs="Times New Roman"/>
          <w:sz w:val="24"/>
          <w:szCs w:val="24"/>
          <w:lang w:val="pt-PT"/>
        </w:rPr>
        <w:t>(</w:t>
      </w:r>
      <w:proofErr w:type="spellStart"/>
      <w:r w:rsidR="00CF2363" w:rsidRPr="00A00A90">
        <w:rPr>
          <w:rFonts w:asciiTheme="majorHAnsi" w:hAnsiTheme="majorHAnsi" w:cs="Times New Roman"/>
          <w:sz w:val="24"/>
          <w:szCs w:val="24"/>
          <w:lang w:val="pt-PT"/>
        </w:rPr>
        <w:t>Ev</w:t>
      </w:r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>e</w:t>
      </w:r>
      <w:r w:rsidR="00CF2363" w:rsidRPr="00A00A90">
        <w:rPr>
          <w:rFonts w:asciiTheme="majorHAnsi" w:hAnsiTheme="majorHAnsi" w:cs="Times New Roman"/>
          <w:sz w:val="24"/>
          <w:szCs w:val="24"/>
          <w:lang w:val="pt-PT"/>
        </w:rPr>
        <w:t>t</w:t>
      </w:r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>ts</w:t>
      </w:r>
      <w:proofErr w:type="spellEnd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2000; </w:t>
      </w:r>
      <w:proofErr w:type="spellStart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>Mayrhofer</w:t>
      </w:r>
      <w:proofErr w:type="spellEnd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</w:t>
      </w:r>
      <w:proofErr w:type="spellStart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>Meyer</w:t>
      </w:r>
      <w:proofErr w:type="spellEnd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EE16C0" w:rsidRPr="00A00A90">
        <w:rPr>
          <w:rFonts w:asciiTheme="majorHAnsi" w:hAnsiTheme="majorHAnsi" w:cs="Times New Roman"/>
          <w:sz w:val="24"/>
          <w:szCs w:val="24"/>
          <w:lang w:val="pt-PT"/>
        </w:rPr>
        <w:t>&amp;</w:t>
      </w:r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spellStart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>Steyrer</w:t>
      </w:r>
      <w:proofErr w:type="spellEnd"/>
      <w:r w:rsidR="00C37A5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; </w:t>
      </w:r>
      <w:r w:rsidR="001242F9" w:rsidRPr="00A00A90">
        <w:rPr>
          <w:rFonts w:asciiTheme="majorHAnsi" w:hAnsiTheme="majorHAnsi" w:cs="Times New Roman"/>
          <w:sz w:val="24"/>
          <w:szCs w:val="24"/>
          <w:lang w:val="pt-PT"/>
        </w:rPr>
        <w:t>2007).</w:t>
      </w:r>
    </w:p>
    <w:p w14:paraId="44D4E584" w14:textId="3E96CD82" w:rsidR="00003290" w:rsidRPr="00A00A90" w:rsidRDefault="00F54728" w:rsidP="00003290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Este </w:t>
      </w:r>
      <w:proofErr w:type="spellStart"/>
      <w:r w:rsidRPr="00A00A90">
        <w:rPr>
          <w:rFonts w:asciiTheme="majorHAnsi" w:hAnsiTheme="majorHAnsi" w:cs="Times New Roman"/>
          <w:i/>
          <w:sz w:val="24"/>
          <w:szCs w:val="24"/>
          <w:lang w:val="pt-PT"/>
        </w:rPr>
        <w:t>call</w:t>
      </w:r>
      <w:proofErr w:type="spellEnd"/>
      <w:r w:rsidRPr="00A00A90">
        <w:rPr>
          <w:rFonts w:asciiTheme="majorHAnsi" w:hAnsiTheme="majorHAnsi" w:cs="Times New Roman"/>
          <w:i/>
          <w:sz w:val="24"/>
          <w:szCs w:val="24"/>
          <w:lang w:val="pt-PT"/>
        </w:rPr>
        <w:t xml:space="preserve"> for </w:t>
      </w:r>
      <w:proofErr w:type="spellStart"/>
      <w:r w:rsidRPr="00A00A90">
        <w:rPr>
          <w:rFonts w:asciiTheme="majorHAnsi" w:hAnsiTheme="majorHAnsi" w:cs="Times New Roman"/>
          <w:i/>
          <w:sz w:val="24"/>
          <w:szCs w:val="24"/>
          <w:lang w:val="pt-PT"/>
        </w:rPr>
        <w:t>papers</w:t>
      </w:r>
      <w:proofErr w:type="spellEnd"/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convida à submissão de trabalhos 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de base empírica, com dados 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nacionais 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>ou internacionais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ou comparativos entr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e diferentes contextos culturais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>, e que utilizem um enquadramento teórico de natureza multidisciplinar (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e.g.,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>gestão, economia, psicologia, sociologia, entre outras áreas disciplinares).</w:t>
      </w:r>
      <w:r w:rsidR="00003290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Com a publicação deste número, a </w:t>
      </w:r>
      <w:proofErr w:type="spellStart"/>
      <w:r w:rsidR="00003290" w:rsidRPr="00A00A90">
        <w:rPr>
          <w:rFonts w:asciiTheme="majorHAnsi" w:hAnsiTheme="majorHAnsi" w:cs="Times New Roman"/>
          <w:sz w:val="24"/>
          <w:szCs w:val="24"/>
          <w:lang w:val="pt-PT"/>
        </w:rPr>
        <w:t>e</w:t>
      </w:r>
      <w:r w:rsidR="00003290" w:rsidRPr="00A00A90">
        <w:rPr>
          <w:rFonts w:asciiTheme="majorHAnsi" w:hAnsiTheme="majorHAnsi" w:cs="Times New Roman"/>
          <w:i/>
          <w:sz w:val="24"/>
          <w:szCs w:val="24"/>
          <w:lang w:val="pt-PT"/>
        </w:rPr>
        <w:t>x</w:t>
      </w:r>
      <w:proofErr w:type="spellEnd"/>
      <w:r w:rsidR="00003290" w:rsidRPr="00A00A90">
        <w:rPr>
          <w:rFonts w:asciiTheme="majorHAnsi" w:hAnsiTheme="majorHAnsi" w:cs="Times New Roman"/>
          <w:i/>
          <w:sz w:val="24"/>
          <w:szCs w:val="24"/>
          <w:lang w:val="pt-PT"/>
        </w:rPr>
        <w:t xml:space="preserve"> </w:t>
      </w:r>
      <w:proofErr w:type="spellStart"/>
      <w:r w:rsidR="00003290" w:rsidRPr="00A00A90">
        <w:rPr>
          <w:rFonts w:asciiTheme="majorHAnsi" w:hAnsiTheme="majorHAnsi" w:cs="Times New Roman"/>
          <w:i/>
          <w:sz w:val="24"/>
          <w:szCs w:val="24"/>
          <w:lang w:val="pt-PT"/>
        </w:rPr>
        <w:t>æquo</w:t>
      </w:r>
      <w:proofErr w:type="spellEnd"/>
      <w:r w:rsidR="00003290" w:rsidRPr="00A00A90">
        <w:rPr>
          <w:rFonts w:asciiTheme="majorHAnsi" w:hAnsiTheme="majorHAnsi" w:cs="Times New Roman"/>
          <w:i/>
          <w:sz w:val="24"/>
          <w:szCs w:val="24"/>
          <w:lang w:val="pt-PT"/>
        </w:rPr>
        <w:t xml:space="preserve"> </w:t>
      </w:r>
      <w:r w:rsidR="00003290" w:rsidRPr="00A00A90">
        <w:rPr>
          <w:rFonts w:asciiTheme="majorHAnsi" w:hAnsiTheme="majorHAnsi" w:cs="Times New Roman"/>
          <w:sz w:val="24"/>
          <w:szCs w:val="24"/>
          <w:lang w:val="pt-PT"/>
        </w:rPr>
        <w:t>propõe-se colmatar a exiguidade de abordagens, ou aprofundar as discussões iniciadas, centradas na reflexão sobre a forma como o género pode contribuir para a explicação do modo como as profissões reagem face à mudança que lhes é imposta pelo exterior.</w:t>
      </w:r>
    </w:p>
    <w:p w14:paraId="734F2B60" w14:textId="7AAE1B1F" w:rsidR="00692223" w:rsidRPr="00A00A90" w:rsidRDefault="005C2E57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>As seguintes questões são indicativa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s </w:t>
      </w:r>
      <w:r w:rsidR="000E5E1A" w:rsidRPr="00A00A90">
        <w:rPr>
          <w:rFonts w:asciiTheme="majorHAnsi" w:hAnsiTheme="majorHAnsi" w:cs="Times New Roman"/>
          <w:sz w:val="24"/>
          <w:szCs w:val="24"/>
          <w:lang w:val="pt-PT"/>
        </w:rPr>
        <w:t>dos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tópicos que poderão ser considerados para este número temático não assumindo, obviamente, um car</w:t>
      </w:r>
      <w:r w:rsidR="000E5E1A" w:rsidRPr="00A00A90">
        <w:rPr>
          <w:rFonts w:asciiTheme="majorHAnsi" w:hAnsiTheme="majorHAnsi" w:cs="Times New Roman"/>
          <w:sz w:val="24"/>
          <w:szCs w:val="24"/>
          <w:lang w:val="pt-PT"/>
        </w:rPr>
        <w:t>á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>ter</w:t>
      </w:r>
      <w:r w:rsidR="000E5E1A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exaustivo</w:t>
      </w:r>
      <w:r w:rsidR="00692223" w:rsidRPr="00A00A90">
        <w:rPr>
          <w:rFonts w:asciiTheme="majorHAnsi" w:hAnsiTheme="majorHAnsi" w:cs="Times New Roman"/>
          <w:sz w:val="24"/>
          <w:szCs w:val="24"/>
          <w:lang w:val="pt-PT"/>
        </w:rPr>
        <w:t>:</w:t>
      </w:r>
    </w:p>
    <w:p w14:paraId="31A72506" w14:textId="6131F321" w:rsidR="00692223" w:rsidRPr="00A00A90" w:rsidRDefault="00692223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-</w:t>
      </w:r>
      <w:r w:rsidR="00003290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 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>uma crescente feminização do ensino superior tem vindo a corresponder, um pouco por todo o mundo, uma crescente feminização d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>a</w:t>
      </w:r>
      <w:r w:rsidR="00003290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>profissão de medicina. Que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alterações podemos esperar no reconhecimento material e simbólico atribuído à profissão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assim como nas relações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>d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 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poder entre os profissionais de ambos os sexos? </w:t>
      </w:r>
      <w:r w:rsidR="00914484" w:rsidRPr="00A00A90">
        <w:rPr>
          <w:rFonts w:asciiTheme="majorHAnsi" w:hAnsiTheme="majorHAnsi" w:cs="Times New Roman"/>
          <w:sz w:val="24"/>
          <w:szCs w:val="24"/>
          <w:lang w:val="pt-PT"/>
        </w:rPr>
        <w:t>Que desigualdades de género permanecem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entre as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várias categorias de profissionais 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num determinado campo profissional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(saúde, ensino, entre outras)?</w:t>
      </w:r>
    </w:p>
    <w:p w14:paraId="1110AC5E" w14:textId="629B3640" w:rsidR="00906D6D" w:rsidRPr="00A00A90" w:rsidRDefault="00692223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Atualmente, assistimos também ao 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>aum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ento do desemprego em profissionais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altamente qualificadas como os/as </w:t>
      </w:r>
      <w:r w:rsidR="004B39F4" w:rsidRPr="00A00A90">
        <w:rPr>
          <w:rFonts w:asciiTheme="majorHAnsi" w:hAnsiTheme="majorHAnsi" w:cs="Times New Roman"/>
          <w:sz w:val="24"/>
          <w:szCs w:val="24"/>
          <w:lang w:val="pt-PT"/>
        </w:rPr>
        <w:t>arquitetos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>/as ou os/as enfermeiras/</w:t>
      </w:r>
      <w:proofErr w:type="gramStart"/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>os</w:t>
      </w:r>
      <w:proofErr w:type="gramEnd"/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(para nomear apenas 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alguns</w:t>
      </w:r>
      <w:r w:rsidR="0086036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). </w:t>
      </w:r>
      <w:r w:rsidR="00906D6D" w:rsidRPr="00A00A90">
        <w:rPr>
          <w:rFonts w:asciiTheme="majorHAnsi" w:hAnsiTheme="majorHAnsi" w:cs="Times New Roman"/>
          <w:sz w:val="24"/>
          <w:szCs w:val="24"/>
          <w:lang w:val="pt-PT"/>
        </w:rPr>
        <w:t>Face a isto, será que existem diferenças de género na forma como se processa o acesso ao mercado de trabalho? Que fatores poderão afetar diferentemente homens e mulheres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?</w:t>
      </w:r>
    </w:p>
    <w:p w14:paraId="74A71280" w14:textId="60B6458E" w:rsidR="00692223" w:rsidRPr="00A00A90" w:rsidRDefault="00692223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- A “carreira sem fronteiras”</w:t>
      </w:r>
      <w:r w:rsidR="00326E3C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(Arthur, 1994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) constitui um novo modelo que abandona definitivamente a ideia de carreira delimitada por fronteiras organizacionais e que abraça o conceito de autogestão</w:t>
      </w:r>
      <w:r w:rsidR="00CC470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de carreira. 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Que diferenças de género podemos encontrar na adoção destes novos modelos de carreira? Est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>ar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ão as mulheres a enveredar pelo autoemprego como estratégia de carreira 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>e como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forma de conseguirem um maior equilíbrio entre trabalho-vida extralaboral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?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>Qu</w:t>
      </w:r>
      <w:r w:rsidR="004E32D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 desafios e constrangimentos 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enfrentam no autoemprego? </w:t>
      </w:r>
    </w:p>
    <w:p w14:paraId="590CF495" w14:textId="45519DBA" w:rsidR="0094567B" w:rsidRPr="00A00A90" w:rsidRDefault="00F32DD1" w:rsidP="0094567B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- Paralelamente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de que modo é que as novas tecnologias de informação resultam em reconfigurações nos modos de organização do trabalho e </w:t>
      </w:r>
      <w:r w:rsidR="005C2E57" w:rsidRPr="00A00A90">
        <w:rPr>
          <w:rFonts w:asciiTheme="majorHAnsi" w:hAnsiTheme="majorHAnsi" w:cs="Times New Roman"/>
          <w:sz w:val="24"/>
          <w:szCs w:val="24"/>
          <w:lang w:val="pt-PT"/>
        </w:rPr>
        <w:t>de gestão do tempo/espaço profissionais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  <w:r w:rsidR="005C2E5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 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como é que isso tem afetado a gestão entre as fronteiras 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laborais e 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extralaborais</w:t>
      </w:r>
      <w:r w:rsidR="00CC470E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dos/as profissionais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, particu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>larmente em profissões ligadas à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economia do conhecimento como 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>é o caso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arquitetos/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; médicos/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; enfermeiras/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os</w:t>
      </w:r>
      <w:proofErr w:type="gramEnd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; 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gestores/</w:t>
      </w:r>
      <w:proofErr w:type="gramStart"/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; 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profissionais de diversas 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áreas 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dos serviços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e da economia social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; cientistas/académicos; funcionários/as públicos/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; jornalistas; magistrados/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; advogados/</w:t>
      </w:r>
      <w:proofErr w:type="gramStart"/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as</w:t>
      </w:r>
      <w:proofErr w:type="gramEnd"/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>; entre outro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="00706A7B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grupos de profissionais</w:t>
      </w:r>
      <w:r w:rsidR="0094567B" w:rsidRPr="00A00A90">
        <w:rPr>
          <w:rFonts w:asciiTheme="majorHAnsi" w:hAnsiTheme="majorHAnsi" w:cs="Times New Roman"/>
          <w:sz w:val="24"/>
          <w:szCs w:val="24"/>
          <w:lang w:val="pt-PT"/>
        </w:rPr>
        <w:t>.</w:t>
      </w:r>
    </w:p>
    <w:p w14:paraId="610FE5E6" w14:textId="1D0EE22E" w:rsidR="0094567B" w:rsidRPr="00A00A90" w:rsidRDefault="0094567B" w:rsidP="0094567B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>Como é que a lógica da nova gestão pública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  <w:r w:rsidR="00CB471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aplicada a setores como a saúde ou o ensino</w:t>
      </w:r>
      <w:r w:rsidR="0091448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superior</w:t>
      </w:r>
      <w:r w:rsidR="00F32DD1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tem afetado os resultados e as perspetivas de </w:t>
      </w:r>
      <w:r w:rsidR="00F32DD1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desenvolvimento de 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carreira de homens e mulheres em organizações profissionais como hospitais ou universidade</w:t>
      </w:r>
      <w:r w:rsidR="00474A41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? Nesta matéria, como se t</w:t>
      </w:r>
      <w:r w:rsidR="00474A41" w:rsidRPr="00A00A90">
        <w:rPr>
          <w:rFonts w:asciiTheme="majorHAnsi" w:hAnsiTheme="majorHAnsi" w:cs="Times New Roman"/>
          <w:sz w:val="24"/>
          <w:szCs w:val="24"/>
          <w:lang w:val="pt-PT"/>
        </w:rPr>
        <w:t>ê</w:t>
      </w:r>
      <w:r w:rsidR="004E0C93" w:rsidRPr="00A00A90">
        <w:rPr>
          <w:rFonts w:asciiTheme="majorHAnsi" w:hAnsiTheme="majorHAnsi" w:cs="Times New Roman"/>
          <w:sz w:val="24"/>
          <w:szCs w:val="24"/>
          <w:lang w:val="pt-PT"/>
        </w:rPr>
        <w:t>m processado as transições de carreira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dentro destes se</w:t>
      </w:r>
      <w:r w:rsidR="00F32DD1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tores? </w:t>
      </w:r>
      <w:r w:rsidR="005C2E5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Existe mobilidade 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interna e/ou externa</w:t>
      </w:r>
      <w:r w:rsidR="005C2E57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? </w:t>
      </w:r>
      <w:r w:rsidR="00CC470E" w:rsidRPr="00A00A90">
        <w:rPr>
          <w:rFonts w:asciiTheme="majorHAnsi" w:hAnsiTheme="majorHAnsi" w:cs="Times New Roman"/>
          <w:sz w:val="24"/>
          <w:szCs w:val="24"/>
          <w:lang w:val="pt-PT"/>
        </w:rPr>
        <w:t>Que estratégias de resistência estão a ser utilizados pelos/as profissionais?</w:t>
      </w:r>
    </w:p>
    <w:p w14:paraId="262C9091" w14:textId="7011CEF1" w:rsidR="007E3B39" w:rsidRPr="00A00A90" w:rsidRDefault="00290128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Assume-se uma abordagem g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enérica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de profissão (que não se restringe, apenas, às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que possuem q</w:t>
      </w:r>
      <w:r w:rsidR="00914484" w:rsidRPr="00A00A90">
        <w:rPr>
          <w:rFonts w:asciiTheme="majorHAnsi" w:hAnsiTheme="majorHAnsi" w:cs="Times New Roman"/>
          <w:sz w:val="24"/>
          <w:szCs w:val="24"/>
          <w:lang w:val="pt-PT"/>
        </w:rPr>
        <w:t>ualificações académicas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). Possíveis grupos profissionais a analisar</w:t>
      </w:r>
      <w:r w:rsidR="007E3B3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incluem</w:t>
      </w:r>
      <w:r w:rsidR="00BF0359" w:rsidRPr="00A00A90">
        <w:rPr>
          <w:rFonts w:asciiTheme="majorHAnsi" w:hAnsiTheme="majorHAnsi" w:cs="Times New Roman"/>
          <w:sz w:val="24"/>
          <w:szCs w:val="24"/>
          <w:lang w:val="pt-PT"/>
        </w:rPr>
        <w:t>, entre outros</w:t>
      </w:r>
      <w:r w:rsidR="007E3B39" w:rsidRPr="00A00A90">
        <w:rPr>
          <w:rFonts w:asciiTheme="majorHAnsi" w:hAnsiTheme="majorHAnsi" w:cs="Times New Roman"/>
          <w:sz w:val="24"/>
          <w:szCs w:val="24"/>
          <w:lang w:val="pt-PT"/>
        </w:rPr>
        <w:t>:</w:t>
      </w:r>
    </w:p>
    <w:p w14:paraId="60C2289D" w14:textId="77777777" w:rsidR="00E1509A" w:rsidRDefault="00E1509A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  <w:sectPr w:rsidR="00E1509A" w:rsidSect="00A00A9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B2C174" w14:textId="5916F502" w:rsidR="00290128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arquiteto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</w:p>
    <w:p w14:paraId="62B42A26" w14:textId="77777777" w:rsidR="00FD2BFB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médico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</w:p>
    <w:p w14:paraId="34C1D7AF" w14:textId="77777777" w:rsidR="00290128" w:rsidRPr="00A00A90" w:rsidRDefault="00FD2BFB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enfermeiras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/os,</w:t>
      </w:r>
      <w:r w:rsidR="00290128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</w:p>
    <w:p w14:paraId="62B46E8F" w14:textId="716C91B3" w:rsidR="002863D4" w:rsidRPr="00A00A90" w:rsidRDefault="002863D4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-</w:t>
      </w:r>
      <w:r w:rsidR="00F113E2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farmacêuticos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/as</w:t>
      </w:r>
    </w:p>
    <w:p w14:paraId="0B7C334A" w14:textId="77777777" w:rsidR="00290128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empregada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doméstica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/o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</w:t>
      </w:r>
    </w:p>
    <w:p w14:paraId="26A49239" w14:textId="6D1E815A" w:rsidR="002863D4" w:rsidRPr="00A00A90" w:rsidRDefault="002863D4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>-</w:t>
      </w:r>
      <w:r w:rsidR="00F113E2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cabeleireiros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/as</w:t>
      </w:r>
    </w:p>
    <w:p w14:paraId="36C841C6" w14:textId="77777777" w:rsidR="00290128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cientista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/académico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</w:t>
      </w:r>
    </w:p>
    <w:p w14:paraId="239B50DA" w14:textId="354E414D" w:rsidR="00290128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funcionário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público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>/a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</w:p>
    <w:p w14:paraId="18798839" w14:textId="77777777" w:rsidR="00290128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jornalista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</w:t>
      </w:r>
    </w:p>
    <w:p w14:paraId="096BC20F" w14:textId="77777777" w:rsidR="0016030F" w:rsidRPr="00A00A90" w:rsidRDefault="00290128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>magistrado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proofErr w:type="gramEnd"/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>/a</w:t>
      </w:r>
      <w:r w:rsidR="00FD2BFB" w:rsidRPr="00A00A90">
        <w:rPr>
          <w:rFonts w:asciiTheme="majorHAnsi" w:hAnsiTheme="majorHAnsi" w:cs="Times New Roman"/>
          <w:sz w:val="24"/>
          <w:szCs w:val="24"/>
          <w:lang w:val="pt-PT"/>
        </w:rPr>
        <w:t>s</w:t>
      </w:r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>,</w:t>
      </w:r>
    </w:p>
    <w:p w14:paraId="06007AA4" w14:textId="46554751" w:rsidR="00FD2BFB" w:rsidRDefault="00FD2BFB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>-</w:t>
      </w:r>
      <w:r w:rsidR="00F113E2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advogados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/as</w:t>
      </w:r>
    </w:p>
    <w:p w14:paraId="3603ECEF" w14:textId="16830364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profissionais</w:t>
      </w:r>
      <w:proofErr w:type="gramEnd"/>
      <w:r>
        <w:rPr>
          <w:rFonts w:asciiTheme="majorHAnsi" w:hAnsiTheme="majorHAnsi" w:cs="Times New Roman"/>
          <w:sz w:val="24"/>
          <w:szCs w:val="24"/>
          <w:lang w:val="pt-PT"/>
        </w:rPr>
        <w:t xml:space="preserve"> de informática</w:t>
      </w:r>
    </w:p>
    <w:p w14:paraId="3B25D0C5" w14:textId="34C6ED4F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engenheiros</w:t>
      </w:r>
      <w:proofErr w:type="gramEnd"/>
      <w:r>
        <w:rPr>
          <w:rFonts w:asciiTheme="majorHAnsi" w:hAnsiTheme="majorHAnsi" w:cs="Times New Roman"/>
          <w:sz w:val="24"/>
          <w:szCs w:val="24"/>
          <w:lang w:val="pt-PT"/>
        </w:rPr>
        <w:t>/as</w:t>
      </w:r>
    </w:p>
    <w:p w14:paraId="4E8ABE13" w14:textId="68790C45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escriturários</w:t>
      </w:r>
      <w:proofErr w:type="gramEnd"/>
      <w:r>
        <w:rPr>
          <w:rFonts w:asciiTheme="majorHAnsi" w:hAnsiTheme="majorHAnsi" w:cs="Times New Roman"/>
          <w:sz w:val="24"/>
          <w:szCs w:val="24"/>
          <w:lang w:val="pt-PT"/>
        </w:rPr>
        <w:t>/as</w:t>
      </w:r>
    </w:p>
    <w:p w14:paraId="1F7862F5" w14:textId="06D8A6E9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contabilistas</w:t>
      </w:r>
      <w:proofErr w:type="gramEnd"/>
    </w:p>
    <w:p w14:paraId="4087E514" w14:textId="331DC080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trabalhadores</w:t>
      </w:r>
      <w:proofErr w:type="gramEnd"/>
      <w:r>
        <w:rPr>
          <w:rFonts w:asciiTheme="majorHAnsi" w:hAnsiTheme="majorHAnsi" w:cs="Times New Roman"/>
          <w:sz w:val="24"/>
          <w:szCs w:val="24"/>
          <w:lang w:val="pt-PT"/>
        </w:rPr>
        <w:t xml:space="preserve">/as de </w:t>
      </w:r>
      <w:proofErr w:type="spellStart"/>
      <w:r>
        <w:rPr>
          <w:rFonts w:asciiTheme="majorHAnsi" w:hAnsiTheme="majorHAnsi" w:cs="Times New Roman"/>
          <w:sz w:val="24"/>
          <w:szCs w:val="24"/>
          <w:lang w:val="pt-PT"/>
        </w:rPr>
        <w:t>call-center</w:t>
      </w:r>
      <w:proofErr w:type="spellEnd"/>
    </w:p>
    <w:p w14:paraId="176EB8C2" w14:textId="0DB29E2E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>
        <w:rPr>
          <w:rFonts w:asciiTheme="majorHAnsi" w:hAnsiTheme="majorHAnsi" w:cs="Times New Roman"/>
          <w:sz w:val="24"/>
          <w:szCs w:val="24"/>
          <w:lang w:val="pt-PT"/>
        </w:rPr>
        <w:t>militares</w:t>
      </w:r>
      <w:proofErr w:type="gramEnd"/>
    </w:p>
    <w:p w14:paraId="34691784" w14:textId="309849E1" w:rsidR="00E1509A" w:rsidRPr="00A00A90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>
        <w:rPr>
          <w:rFonts w:asciiTheme="majorHAnsi" w:hAnsiTheme="majorHAnsi" w:cs="Times New Roman"/>
          <w:sz w:val="24"/>
          <w:szCs w:val="24"/>
          <w:lang w:val="pt-PT"/>
        </w:rPr>
        <w:t xml:space="preserve">- </w:t>
      </w:r>
      <w:proofErr w:type="gramStart"/>
      <w:r w:rsidRPr="00A00A90">
        <w:rPr>
          <w:rFonts w:asciiTheme="majorHAnsi" w:hAnsiTheme="majorHAnsi" w:cs="Times New Roman"/>
          <w:sz w:val="24"/>
          <w:szCs w:val="24"/>
          <w:lang w:val="pt-PT"/>
        </w:rPr>
        <w:t>técnicos</w:t>
      </w:r>
      <w:proofErr w:type="gramEnd"/>
      <w:r w:rsidRPr="00A00A90">
        <w:rPr>
          <w:rFonts w:asciiTheme="majorHAnsi" w:hAnsiTheme="majorHAnsi" w:cs="Times New Roman"/>
          <w:sz w:val="24"/>
          <w:szCs w:val="24"/>
          <w:lang w:val="pt-PT"/>
        </w:rPr>
        <w:t>/as de várias áreas profissionais</w:t>
      </w:r>
    </w:p>
    <w:p w14:paraId="07847532" w14:textId="77777777" w:rsidR="00E1509A" w:rsidRDefault="00E1509A" w:rsidP="0015206E">
      <w:pPr>
        <w:spacing w:after="120"/>
        <w:jc w:val="both"/>
        <w:rPr>
          <w:rFonts w:asciiTheme="majorHAnsi" w:hAnsiTheme="majorHAnsi" w:cs="Times New Roman"/>
          <w:sz w:val="24"/>
          <w:szCs w:val="24"/>
          <w:lang w:val="pt-PT"/>
        </w:rPr>
        <w:sectPr w:rsidR="00E1509A" w:rsidSect="00E1509A">
          <w:type w:val="continuous"/>
          <w:pgSz w:w="11906" w:h="16838" w:code="9"/>
          <w:pgMar w:top="1440" w:right="1134" w:bottom="1440" w:left="1440" w:header="709" w:footer="709" w:gutter="0"/>
          <w:cols w:num="2" w:space="708"/>
          <w:docGrid w:linePitch="360"/>
        </w:sectPr>
      </w:pPr>
    </w:p>
    <w:p w14:paraId="3B9A8BB7" w14:textId="139CF58A" w:rsidR="007E3B39" w:rsidRPr="00A00A90" w:rsidRDefault="007E3B39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lastRenderedPageBreak/>
        <w:t>Prazo de envio:</w:t>
      </w:r>
    </w:p>
    <w:p w14:paraId="32EEAC4B" w14:textId="6F344022" w:rsidR="007E3B39" w:rsidRPr="00A00A90" w:rsidRDefault="007E3B39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Envio de artigos com escrupuloso cumprimento segundo normas apresentadas em </w:t>
      </w:r>
      <w:hyperlink r:id="rId10" w:tgtFrame="_blank" w:history="1">
        <w:r w:rsidR="00485CEB" w:rsidRPr="00A00A90">
          <w:rPr>
            <w:rStyle w:val="Hiperligao"/>
            <w:rFonts w:asciiTheme="majorHAnsi" w:hAnsiTheme="majorHAnsi" w:cs="Times New Roman"/>
            <w:color w:val="1155CC"/>
            <w:sz w:val="24"/>
            <w:szCs w:val="24"/>
            <w:u w:val="none"/>
            <w:shd w:val="clear" w:color="auto" w:fill="FFFFFF"/>
            <w:lang w:val="pt-PT"/>
          </w:rPr>
          <w:t>http://www.apem-estudos.org/en/page/apresentacao-da-revista</w:t>
        </w:r>
      </w:hyperlink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até </w:t>
      </w:r>
      <w:r w:rsidR="00586DED" w:rsidRPr="00D870CC">
        <w:rPr>
          <w:rFonts w:asciiTheme="majorHAnsi" w:hAnsiTheme="majorHAnsi" w:cs="Times New Roman"/>
          <w:b/>
          <w:sz w:val="24"/>
          <w:szCs w:val="24"/>
          <w:lang w:val="pt-PT"/>
        </w:rPr>
        <w:t xml:space="preserve">30 </w:t>
      </w:r>
      <w:r w:rsidRPr="00D870CC">
        <w:rPr>
          <w:rFonts w:asciiTheme="majorHAnsi" w:hAnsiTheme="majorHAnsi" w:cs="Times New Roman"/>
          <w:b/>
          <w:sz w:val="24"/>
          <w:szCs w:val="24"/>
          <w:lang w:val="pt-PT"/>
        </w:rPr>
        <w:t xml:space="preserve">de </w:t>
      </w:r>
      <w:r w:rsidR="001D3BE8" w:rsidRPr="00D870CC">
        <w:rPr>
          <w:rFonts w:asciiTheme="majorHAnsi" w:hAnsiTheme="majorHAnsi" w:cs="Times New Roman"/>
          <w:b/>
          <w:sz w:val="24"/>
          <w:szCs w:val="24"/>
          <w:lang w:val="pt-PT"/>
        </w:rPr>
        <w:t>setembro</w:t>
      </w:r>
      <w:r w:rsidRPr="00D870CC">
        <w:rPr>
          <w:rFonts w:asciiTheme="majorHAnsi" w:hAnsiTheme="majorHAnsi" w:cs="Times New Roman"/>
          <w:b/>
          <w:sz w:val="24"/>
          <w:szCs w:val="24"/>
          <w:lang w:val="pt-PT"/>
        </w:rPr>
        <w:t xml:space="preserve"> de 201</w:t>
      </w:r>
      <w:r w:rsidR="0016030F" w:rsidRPr="00D870CC">
        <w:rPr>
          <w:rFonts w:asciiTheme="majorHAnsi" w:hAnsiTheme="majorHAnsi" w:cs="Times New Roman"/>
          <w:b/>
          <w:sz w:val="24"/>
          <w:szCs w:val="24"/>
          <w:lang w:val="pt-PT"/>
        </w:rPr>
        <w:t>5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ao cuidado de </w:t>
      </w:r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>Gina Santos</w:t>
      </w:r>
      <w:r w:rsidR="002863D4" w:rsidRPr="00A00A90">
        <w:rPr>
          <w:rFonts w:asciiTheme="majorHAnsi" w:hAnsiTheme="majorHAnsi"/>
          <w:lang w:val="pt-PT"/>
        </w:rPr>
        <w:t xml:space="preserve"> </w:t>
      </w:r>
      <w:r w:rsidR="00F113E2" w:rsidRPr="00A00A90">
        <w:rPr>
          <w:rFonts w:asciiTheme="majorHAnsi" w:hAnsiTheme="majorHAnsi"/>
          <w:lang w:val="pt-PT"/>
        </w:rPr>
        <w:t xml:space="preserve">(Universidade do Minho) 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e </w:t>
      </w:r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>Teresa Carvalho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</w:t>
      </w:r>
      <w:r w:rsidR="002107BC" w:rsidRPr="00A00A90">
        <w:rPr>
          <w:rFonts w:asciiTheme="majorHAnsi" w:hAnsiTheme="majorHAnsi" w:cs="Times New Roman"/>
          <w:sz w:val="24"/>
          <w:szCs w:val="24"/>
          <w:lang w:val="pt-PT"/>
        </w:rPr>
        <w:t>(</w:t>
      </w:r>
      <w:r w:rsidR="00F113E2" w:rsidRPr="00A00A90">
        <w:rPr>
          <w:rFonts w:asciiTheme="majorHAnsi" w:hAnsiTheme="majorHAnsi" w:cs="Times New Roman"/>
          <w:sz w:val="24"/>
          <w:szCs w:val="24"/>
          <w:lang w:val="pt-PT"/>
        </w:rPr>
        <w:t>Universidade de Aveiro</w:t>
      </w:r>
      <w:r w:rsidR="002863D4" w:rsidRPr="00A00A90">
        <w:rPr>
          <w:rStyle w:val="Hiperligao"/>
          <w:rFonts w:asciiTheme="majorHAnsi" w:hAnsiTheme="majorHAnsi" w:cs="Times New Roman"/>
          <w:color w:val="auto"/>
          <w:sz w:val="24"/>
          <w:szCs w:val="24"/>
          <w:u w:val="none"/>
          <w:lang w:val="pt-PT"/>
        </w:rPr>
        <w:t>)</w:t>
      </w:r>
      <w:r w:rsidR="00F113E2" w:rsidRPr="00A00A90">
        <w:rPr>
          <w:rStyle w:val="Hiperligao"/>
          <w:rFonts w:asciiTheme="majorHAnsi" w:hAnsiTheme="majorHAnsi" w:cs="Times New Roman"/>
          <w:color w:val="auto"/>
          <w:sz w:val="24"/>
          <w:szCs w:val="24"/>
          <w:u w:val="none"/>
          <w:lang w:val="pt-PT"/>
        </w:rPr>
        <w:t xml:space="preserve"> para o endereço (apem1991@gmail.com)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, responsáveis por este </w:t>
      </w:r>
      <w:r w:rsidR="00F113E2" w:rsidRPr="00A00A90">
        <w:rPr>
          <w:rFonts w:asciiTheme="majorHAnsi" w:hAnsiTheme="majorHAnsi" w:cs="Times New Roman"/>
          <w:sz w:val="24"/>
          <w:szCs w:val="24"/>
          <w:lang w:val="pt-PT"/>
        </w:rPr>
        <w:t>dossiê</w:t>
      </w:r>
      <w:r w:rsidR="0016030F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t</w:t>
      </w:r>
      <w:r w:rsidR="002863D4" w:rsidRPr="00A00A90">
        <w:rPr>
          <w:rFonts w:asciiTheme="majorHAnsi" w:hAnsiTheme="majorHAnsi" w:cs="Times New Roman"/>
          <w:sz w:val="24"/>
          <w:szCs w:val="24"/>
          <w:lang w:val="pt-PT"/>
        </w:rPr>
        <w:t>emático.</w:t>
      </w:r>
    </w:p>
    <w:p w14:paraId="0D4ADCC7" w14:textId="747C05C2" w:rsidR="007E3B39" w:rsidRPr="00A00A90" w:rsidRDefault="007E3B39" w:rsidP="00260C51">
      <w:pPr>
        <w:jc w:val="both"/>
        <w:rPr>
          <w:rFonts w:asciiTheme="majorHAnsi" w:hAnsiTheme="majorHAnsi"/>
          <w:lang w:val="pt-PT"/>
        </w:rPr>
      </w:pP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Os textos que não respeitarem as normas quanto à extensão, à formatação e ao modo de citar e referenciar as fontes bibliográficas serão excluídos numa primeira triagem antes de serem submetidos a arbitragem. No prazo de </w:t>
      </w:r>
      <w:r w:rsidR="000C014D" w:rsidRPr="00A00A90">
        <w:rPr>
          <w:rFonts w:asciiTheme="majorHAnsi" w:hAnsiTheme="majorHAnsi" w:cs="Times New Roman"/>
          <w:sz w:val="24"/>
          <w:szCs w:val="24"/>
          <w:lang w:val="pt-PT"/>
        </w:rPr>
        <w:t>quatro</w:t>
      </w:r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semanas após a data limite de receção, as/os autoras/</w:t>
      </w:r>
      <w:proofErr w:type="spellStart"/>
      <w:r w:rsidRPr="00A00A90">
        <w:rPr>
          <w:rFonts w:asciiTheme="majorHAnsi" w:hAnsiTheme="majorHAnsi" w:cs="Times New Roman"/>
          <w:sz w:val="24"/>
          <w:szCs w:val="24"/>
          <w:lang w:val="pt-PT"/>
        </w:rPr>
        <w:t>es</w:t>
      </w:r>
      <w:proofErr w:type="spellEnd"/>
      <w:r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receberão a informação sobre os resultados da primeira triagem e a passagem à etapa seguinte, isto é, a submissão à arbitragem científica do texto.</w:t>
      </w:r>
      <w:r w:rsidR="001242F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 data prevista de sa</w:t>
      </w:r>
      <w:r w:rsidR="004E3999" w:rsidRPr="00A00A90">
        <w:rPr>
          <w:rFonts w:asciiTheme="majorHAnsi" w:hAnsiTheme="majorHAnsi" w:cs="Times New Roman"/>
          <w:sz w:val="24"/>
          <w:szCs w:val="24"/>
          <w:lang w:val="pt-PT"/>
        </w:rPr>
        <w:t>ída deste número especial é</w:t>
      </w:r>
      <w:r w:rsidR="001242F9" w:rsidRPr="00A00A90">
        <w:rPr>
          <w:rFonts w:asciiTheme="majorHAnsi" w:hAnsiTheme="majorHAnsi" w:cs="Times New Roman"/>
          <w:sz w:val="24"/>
          <w:szCs w:val="24"/>
          <w:lang w:val="pt-PT"/>
        </w:rPr>
        <w:t xml:space="preserve"> Abril de </w:t>
      </w:r>
      <w:r w:rsidR="001242F9" w:rsidRPr="00A00A90">
        <w:rPr>
          <w:rFonts w:asciiTheme="majorHAnsi" w:hAnsiTheme="majorHAnsi" w:cs="Times New Roman"/>
          <w:lang w:val="pt-PT"/>
        </w:rPr>
        <w:t>2016.</w:t>
      </w:r>
    </w:p>
    <w:p w14:paraId="32D816FA" w14:textId="77777777" w:rsidR="00A93940" w:rsidRPr="00A00A90" w:rsidRDefault="00A93940" w:rsidP="00260C51">
      <w:pPr>
        <w:jc w:val="both"/>
        <w:rPr>
          <w:rFonts w:asciiTheme="majorHAnsi" w:hAnsiTheme="majorHAnsi" w:cs="Times New Roman"/>
          <w:sz w:val="24"/>
          <w:szCs w:val="24"/>
          <w:lang w:val="pt-PT"/>
        </w:rPr>
      </w:pPr>
    </w:p>
    <w:p w14:paraId="26F6418C" w14:textId="44669595" w:rsidR="00A93940" w:rsidRPr="00A00A90" w:rsidRDefault="002372DD" w:rsidP="003123E4">
      <w:pPr>
        <w:spacing w:before="120" w:after="120" w:line="360" w:lineRule="auto"/>
        <w:ind w:left="900" w:hanging="90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A00A90">
        <w:rPr>
          <w:rFonts w:asciiTheme="majorHAnsi" w:hAnsiTheme="majorHAnsi" w:cs="Times New Roman"/>
          <w:b/>
          <w:sz w:val="24"/>
          <w:szCs w:val="24"/>
          <w:lang w:val="en-US"/>
        </w:rPr>
        <w:t>Referências</w:t>
      </w:r>
      <w:proofErr w:type="spellEnd"/>
    </w:p>
    <w:p w14:paraId="4E1B68A9" w14:textId="77777777" w:rsidR="006368BC" w:rsidRPr="00A00A90" w:rsidRDefault="006368BC" w:rsidP="006368BC">
      <w:pPr>
        <w:pStyle w:val="Corpodetexto2"/>
        <w:spacing w:line="276" w:lineRule="auto"/>
        <w:ind w:left="567" w:hanging="567"/>
        <w:jc w:val="both"/>
        <w:rPr>
          <w:rFonts w:asciiTheme="majorHAnsi" w:hAnsiTheme="majorHAnsi"/>
          <w:i w:val="0"/>
          <w:sz w:val="24"/>
          <w:szCs w:val="24"/>
          <w:lang w:val="en-GB"/>
        </w:rPr>
      </w:pPr>
      <w:r w:rsidRPr="00A00A90">
        <w:rPr>
          <w:rFonts w:asciiTheme="majorHAnsi" w:hAnsiTheme="majorHAnsi"/>
          <w:i w:val="0"/>
          <w:sz w:val="24"/>
          <w:szCs w:val="24"/>
          <w:lang w:val="en-GB"/>
        </w:rPr>
        <w:t xml:space="preserve">Arthur, Michael (1994), “The </w:t>
      </w:r>
      <w:proofErr w:type="spellStart"/>
      <w:r w:rsidRPr="00A00A90">
        <w:rPr>
          <w:rFonts w:asciiTheme="majorHAnsi" w:hAnsiTheme="majorHAnsi"/>
          <w:i w:val="0"/>
          <w:sz w:val="24"/>
          <w:szCs w:val="24"/>
          <w:lang w:val="en-GB"/>
        </w:rPr>
        <w:t>boundaryless</w:t>
      </w:r>
      <w:proofErr w:type="spellEnd"/>
      <w:r w:rsidRPr="00A00A90">
        <w:rPr>
          <w:rFonts w:asciiTheme="majorHAnsi" w:hAnsiTheme="majorHAnsi"/>
          <w:i w:val="0"/>
          <w:sz w:val="24"/>
          <w:szCs w:val="24"/>
          <w:lang w:val="en-GB"/>
        </w:rPr>
        <w:t xml:space="preserve"> career: A new perspective for organizational inquiry”</w:t>
      </w:r>
      <w:r>
        <w:rPr>
          <w:rFonts w:asciiTheme="majorHAnsi" w:hAnsiTheme="majorHAnsi"/>
          <w:i w:val="0"/>
          <w:sz w:val="24"/>
          <w:szCs w:val="24"/>
          <w:lang w:val="en-GB"/>
        </w:rPr>
        <w:t>,</w:t>
      </w:r>
      <w:r w:rsidRPr="00A00A90">
        <w:rPr>
          <w:rFonts w:asciiTheme="majorHAnsi" w:hAnsiTheme="majorHAnsi"/>
          <w:i w:val="0"/>
          <w:sz w:val="24"/>
          <w:szCs w:val="24"/>
          <w:lang w:val="en-GB"/>
        </w:rPr>
        <w:t xml:space="preserve"> </w:t>
      </w:r>
      <w:r w:rsidRPr="00A00A90">
        <w:rPr>
          <w:rFonts w:asciiTheme="majorHAnsi" w:hAnsiTheme="majorHAnsi"/>
          <w:sz w:val="24"/>
          <w:szCs w:val="24"/>
          <w:lang w:val="en-GB"/>
        </w:rPr>
        <w:t xml:space="preserve">Journal of Organizational </w:t>
      </w:r>
      <w:proofErr w:type="spellStart"/>
      <w:r w:rsidRPr="00A00A90">
        <w:rPr>
          <w:rFonts w:asciiTheme="majorHAnsi" w:hAnsiTheme="majorHAnsi"/>
          <w:sz w:val="24"/>
          <w:szCs w:val="24"/>
          <w:lang w:val="en-GB"/>
        </w:rPr>
        <w:t>Behavior</w:t>
      </w:r>
      <w:proofErr w:type="spellEnd"/>
      <w:r w:rsidRPr="00A00A90">
        <w:rPr>
          <w:rFonts w:asciiTheme="majorHAnsi" w:hAnsiTheme="majorHAnsi"/>
          <w:i w:val="0"/>
          <w:sz w:val="24"/>
          <w:szCs w:val="24"/>
          <w:lang w:val="en-GB"/>
        </w:rPr>
        <w:t>, 15</w:t>
      </w:r>
      <w:r>
        <w:rPr>
          <w:rFonts w:asciiTheme="majorHAnsi" w:hAnsiTheme="majorHAnsi"/>
          <w:i w:val="0"/>
          <w:sz w:val="24"/>
          <w:szCs w:val="24"/>
          <w:lang w:val="en-GB"/>
        </w:rPr>
        <w:t>,</w:t>
      </w:r>
      <w:r w:rsidRPr="00A00A90">
        <w:rPr>
          <w:rFonts w:asciiTheme="majorHAnsi" w:hAnsiTheme="majorHAnsi"/>
          <w:i w:val="0"/>
          <w:sz w:val="24"/>
          <w:szCs w:val="24"/>
          <w:lang w:val="en-GB"/>
        </w:rPr>
        <w:t xml:space="preserve"> 295-306.</w:t>
      </w:r>
    </w:p>
    <w:p w14:paraId="0C8B013A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A00A90">
        <w:rPr>
          <w:rFonts w:asciiTheme="majorHAnsi" w:hAnsiTheme="majorHAnsi" w:cs="Times New Roman"/>
          <w:sz w:val="24"/>
          <w:szCs w:val="24"/>
        </w:rPr>
        <w:t>Brown, Phillip</w:t>
      </w:r>
      <w:r>
        <w:rPr>
          <w:rFonts w:asciiTheme="majorHAnsi" w:hAnsiTheme="majorHAnsi" w:cs="Times New Roman"/>
          <w:sz w:val="24"/>
          <w:szCs w:val="24"/>
        </w:rPr>
        <w:t xml:space="preserve">; </w:t>
      </w:r>
      <w:proofErr w:type="spellStart"/>
      <w:r>
        <w:rPr>
          <w:rFonts w:asciiTheme="majorHAnsi" w:hAnsiTheme="majorHAnsi" w:cs="Times New Roman"/>
          <w:sz w:val="24"/>
          <w:szCs w:val="24"/>
        </w:rPr>
        <w:t>Hesketh</w:t>
      </w:r>
      <w:proofErr w:type="spellEnd"/>
      <w:r>
        <w:rPr>
          <w:rFonts w:asciiTheme="majorHAnsi" w:hAnsiTheme="majorHAnsi" w:cs="Times New Roman"/>
          <w:sz w:val="24"/>
          <w:szCs w:val="24"/>
        </w:rPr>
        <w:t>, Anthony;</w:t>
      </w:r>
      <w:r w:rsidRPr="00A00A90">
        <w:rPr>
          <w:rFonts w:asciiTheme="majorHAnsi" w:hAnsiTheme="majorHAnsi" w:cs="Times New Roman"/>
          <w:sz w:val="24"/>
          <w:szCs w:val="24"/>
        </w:rPr>
        <w:t xml:space="preserve"> Williams, Sara (2003), “Employability in a knowledge-driven economy”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>Journal of Education and Work,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16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107-126.</w:t>
      </w:r>
    </w:p>
    <w:p w14:paraId="4BBABBC7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  <w:lang w:bidi="hi-IN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Carvalho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Teresa (2012), “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Managerialism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 and professional strategies: A case from nurses in Portugal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” </w:t>
      </w:r>
      <w:r w:rsidRPr="00A00A90">
        <w:rPr>
          <w:rFonts w:asciiTheme="majorHAnsi" w:hAnsiTheme="majorHAnsi" w:cs="Times New Roman"/>
          <w:i/>
          <w:sz w:val="24"/>
          <w:szCs w:val="24"/>
        </w:rPr>
        <w:t>Journal of Health, Organization and Management</w:t>
      </w:r>
      <w:r w:rsidRPr="00A00A90">
        <w:rPr>
          <w:rFonts w:asciiTheme="majorHAnsi" w:hAnsiTheme="majorHAnsi" w:cs="Times New Roman"/>
          <w:sz w:val="24"/>
          <w:szCs w:val="24"/>
        </w:rPr>
        <w:t>, 26, 4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  <w:lang w:bidi="hi-IN"/>
        </w:rPr>
        <w:t xml:space="preserve"> 524 – 541.</w:t>
      </w:r>
    </w:p>
    <w:p w14:paraId="55C2937D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Carvalho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Teresa</w:t>
      </w:r>
      <w:r>
        <w:rPr>
          <w:rFonts w:asciiTheme="majorHAnsi" w:hAnsiTheme="majorHAnsi" w:cs="Times New Roman"/>
          <w:sz w:val="24"/>
          <w:szCs w:val="24"/>
        </w:rPr>
        <w:t>;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Ozkanli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Ozlem</w:t>
      </w:r>
      <w:proofErr w:type="spellEnd"/>
      <w:r>
        <w:rPr>
          <w:rFonts w:asciiTheme="majorHAnsi" w:hAnsiTheme="majorHAnsi" w:cs="Times New Roman"/>
          <w:sz w:val="24"/>
          <w:szCs w:val="24"/>
        </w:rPr>
        <w:t>; Peterson, Helen;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Prozesky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Helen (</w:t>
      </w:r>
      <w:r w:rsidRPr="00A00A90">
        <w:rPr>
          <w:rFonts w:asciiTheme="majorHAnsi" w:hAnsiTheme="majorHAnsi" w:cs="Times New Roman"/>
          <w:iCs/>
          <w:sz w:val="24"/>
          <w:szCs w:val="24"/>
        </w:rPr>
        <w:t>2013</w:t>
      </w:r>
      <w:r w:rsidRPr="00A00A90">
        <w:rPr>
          <w:rFonts w:asciiTheme="majorHAnsi" w:hAnsiTheme="majorHAnsi" w:cs="Times New Roman"/>
          <w:sz w:val="24"/>
          <w:szCs w:val="24"/>
        </w:rPr>
        <w:t>) “Building academic careers”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36565">
        <w:rPr>
          <w:rFonts w:asciiTheme="majorHAnsi" w:hAnsiTheme="majorHAnsi" w:cs="Times New Roman"/>
          <w:i/>
          <w:sz w:val="24"/>
          <w:szCs w:val="24"/>
        </w:rPr>
        <w:t>in</w:t>
      </w:r>
      <w:r w:rsidRPr="00A00A90">
        <w:rPr>
          <w:rFonts w:asciiTheme="majorHAnsi" w:hAnsiTheme="majorHAnsi" w:cs="Times New Roman"/>
          <w:sz w:val="24"/>
          <w:szCs w:val="24"/>
        </w:rPr>
        <w:t xml:space="preserve"> Barbara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Bagilhole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 and Kate White (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Eds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iCs/>
          <w:sz w:val="24"/>
          <w:szCs w:val="24"/>
        </w:rPr>
        <w:t>Battle scars: Reflections of women in academia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Hampshire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Palgrave MacMillan, pp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127-168.</w:t>
      </w:r>
    </w:p>
    <w:p w14:paraId="24A10637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Carvalho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Teresa (2014), “Changing connections between professionalism and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managerialism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: A case study of nursing in Portugal”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>Journal of Professions and Organization,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1, 2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1-15.</w:t>
      </w:r>
    </w:p>
    <w:p w14:paraId="507843B9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Evetts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Julie (2003), “The sociological analysis of professionalism occupational change in the modern world”, </w:t>
      </w:r>
      <w:r w:rsidRPr="00A00A90">
        <w:rPr>
          <w:rFonts w:asciiTheme="majorHAnsi" w:hAnsiTheme="majorHAnsi" w:cs="Times New Roman"/>
          <w:i/>
          <w:sz w:val="24"/>
          <w:szCs w:val="24"/>
        </w:rPr>
        <w:t>International Sociology</w:t>
      </w:r>
      <w:r w:rsidRPr="00A00A90">
        <w:rPr>
          <w:rFonts w:asciiTheme="majorHAnsi" w:hAnsiTheme="majorHAnsi" w:cs="Times New Roman"/>
          <w:sz w:val="24"/>
          <w:szCs w:val="24"/>
        </w:rPr>
        <w:t>, 18, 2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395-415.</w:t>
      </w:r>
      <w:r w:rsidRPr="00A00A90">
        <w:rPr>
          <w:rFonts w:asciiTheme="majorHAnsi" w:hAnsiTheme="majorHAnsi" w:cs="Times New Roman"/>
          <w:sz w:val="24"/>
          <w:szCs w:val="24"/>
          <w:highlight w:val="yellow"/>
        </w:rPr>
        <w:t xml:space="preserve"> </w:t>
      </w:r>
    </w:p>
    <w:p w14:paraId="30CADE95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lastRenderedPageBreak/>
        <w:t>Evetts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Julie (2000), “Analysing change in women’s careers”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>Gender, Work and Organization,</w:t>
      </w:r>
      <w:r w:rsidRPr="00A00A90">
        <w:rPr>
          <w:rFonts w:asciiTheme="majorHAnsi" w:hAnsiTheme="majorHAnsi" w:cs="Times New Roman"/>
          <w:sz w:val="24"/>
          <w:szCs w:val="24"/>
        </w:rPr>
        <w:t xml:space="preserve"> 7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57-67</w:t>
      </w:r>
    </w:p>
    <w:p w14:paraId="71C9D3D1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Style w:val="CharacterStyle2"/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Style w:val="CharacterStyle2"/>
          <w:rFonts w:asciiTheme="majorHAnsi" w:hAnsiTheme="majorHAnsi" w:cs="Times New Roman"/>
          <w:sz w:val="24"/>
          <w:szCs w:val="24"/>
        </w:rPr>
        <w:t>Freidson</w:t>
      </w:r>
      <w:proofErr w:type="spellEnd"/>
      <w:r w:rsidRPr="00A00A90">
        <w:rPr>
          <w:rStyle w:val="CharacterStyle2"/>
          <w:rFonts w:asciiTheme="majorHAnsi" w:hAnsiTheme="majorHAnsi" w:cs="Times New Roman"/>
          <w:sz w:val="24"/>
          <w:szCs w:val="24"/>
        </w:rPr>
        <w:t xml:space="preserve">, Eliot (2001), </w:t>
      </w:r>
      <w:r w:rsidRPr="00A00A90">
        <w:rPr>
          <w:rStyle w:val="CharacterStyle2"/>
          <w:rFonts w:asciiTheme="majorHAnsi" w:hAnsiTheme="majorHAnsi" w:cs="Times New Roman"/>
          <w:i/>
          <w:iCs/>
          <w:sz w:val="24"/>
          <w:szCs w:val="24"/>
        </w:rPr>
        <w:t>Professionalism</w:t>
      </w:r>
      <w:r>
        <w:rPr>
          <w:rStyle w:val="CharacterStyle2"/>
          <w:rFonts w:asciiTheme="majorHAnsi" w:hAnsiTheme="majorHAnsi" w:cs="Times New Roman"/>
          <w:i/>
          <w:iCs/>
          <w:sz w:val="24"/>
          <w:szCs w:val="24"/>
        </w:rPr>
        <w:t xml:space="preserve"> -</w:t>
      </w:r>
      <w:r w:rsidRPr="00A00A90">
        <w:rPr>
          <w:rStyle w:val="CharacterStyle2"/>
          <w:rFonts w:asciiTheme="majorHAnsi" w:hAnsiTheme="majorHAnsi" w:cs="Times New Roman"/>
          <w:i/>
          <w:iCs/>
          <w:sz w:val="24"/>
          <w:szCs w:val="24"/>
        </w:rPr>
        <w:t xml:space="preserve"> The Third Logic</w:t>
      </w:r>
      <w:r>
        <w:rPr>
          <w:rStyle w:val="CharacterStyle2"/>
          <w:rFonts w:asciiTheme="majorHAnsi" w:hAnsiTheme="majorHAnsi" w:cs="Times New Roman"/>
          <w:i/>
          <w:iCs/>
          <w:sz w:val="24"/>
          <w:szCs w:val="24"/>
        </w:rPr>
        <w:t>,</w:t>
      </w:r>
      <w:r w:rsidRPr="00A00A90">
        <w:rPr>
          <w:rStyle w:val="CharacterStyle2"/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A00A90">
        <w:rPr>
          <w:rStyle w:val="CharacterStyle2"/>
          <w:rFonts w:asciiTheme="majorHAnsi" w:hAnsiTheme="majorHAnsi" w:cs="Times New Roman"/>
          <w:sz w:val="24"/>
          <w:szCs w:val="24"/>
        </w:rPr>
        <w:t>Cambridge</w:t>
      </w:r>
      <w:r>
        <w:rPr>
          <w:rStyle w:val="CharacterStyle2"/>
          <w:rFonts w:asciiTheme="majorHAnsi" w:hAnsiTheme="majorHAnsi" w:cs="Times New Roman"/>
          <w:sz w:val="24"/>
          <w:szCs w:val="24"/>
        </w:rPr>
        <w:t>,</w:t>
      </w:r>
      <w:r w:rsidRPr="00A00A90">
        <w:rPr>
          <w:rStyle w:val="CharacterStyle2"/>
          <w:rFonts w:asciiTheme="majorHAnsi" w:hAnsiTheme="majorHAnsi" w:cs="Times New Roman"/>
          <w:sz w:val="24"/>
          <w:szCs w:val="24"/>
        </w:rPr>
        <w:t xml:space="preserve"> Polity Press. </w:t>
      </w:r>
    </w:p>
    <w:p w14:paraId="66CFE306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Guest, David;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Sturges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Jane (2007), “Living to work – working to live: conceptualizations of careers among contemporary workers”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36565">
        <w:rPr>
          <w:rFonts w:asciiTheme="majorHAnsi" w:hAnsiTheme="majorHAnsi" w:cs="Times New Roman"/>
          <w:i/>
          <w:sz w:val="24"/>
          <w:szCs w:val="24"/>
        </w:rPr>
        <w:t>in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Gunz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H and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Peiperl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M. (eds.), </w:t>
      </w:r>
      <w:r w:rsidRPr="00A00A90">
        <w:rPr>
          <w:rFonts w:asciiTheme="majorHAnsi" w:hAnsiTheme="majorHAnsi" w:cs="Times New Roman"/>
          <w:i/>
          <w:sz w:val="24"/>
          <w:szCs w:val="24"/>
        </w:rPr>
        <w:t>Handbook of Career Studies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London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Sage, 310-326.</w:t>
      </w:r>
    </w:p>
    <w:p w14:paraId="50453ED0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Kirkpatrick, Ian; </w:t>
      </w:r>
      <w:proofErr w:type="spellStart"/>
      <w:r>
        <w:rPr>
          <w:rFonts w:asciiTheme="majorHAnsi" w:hAnsiTheme="majorHAnsi" w:cs="Times New Roman"/>
          <w:sz w:val="24"/>
          <w:szCs w:val="24"/>
        </w:rPr>
        <w:t>Ackroyd</w:t>
      </w:r>
      <w:proofErr w:type="spellEnd"/>
      <w:r>
        <w:rPr>
          <w:rFonts w:asciiTheme="majorHAnsi" w:hAnsiTheme="majorHAnsi" w:cs="Times New Roman"/>
          <w:sz w:val="24"/>
          <w:szCs w:val="24"/>
        </w:rPr>
        <w:t>, Stephen;</w:t>
      </w:r>
      <w:r w:rsidRPr="00A00A90">
        <w:rPr>
          <w:rFonts w:asciiTheme="majorHAnsi" w:hAnsiTheme="majorHAnsi" w:cs="Times New Roman"/>
          <w:sz w:val="24"/>
          <w:szCs w:val="24"/>
        </w:rPr>
        <w:t xml:space="preserve"> Walker, Richard (2005), </w:t>
      </w:r>
      <w:proofErr w:type="gramStart"/>
      <w:r w:rsidRPr="00A00A90">
        <w:rPr>
          <w:rFonts w:asciiTheme="majorHAnsi" w:hAnsiTheme="majorHAnsi" w:cs="Times New Roman"/>
          <w:i/>
          <w:sz w:val="24"/>
          <w:szCs w:val="24"/>
        </w:rPr>
        <w:t>The</w:t>
      </w:r>
      <w:proofErr w:type="gramEnd"/>
      <w:r w:rsidRPr="00A00A90">
        <w:rPr>
          <w:rFonts w:asciiTheme="majorHAnsi" w:hAnsiTheme="majorHAnsi" w:cs="Times New Roman"/>
          <w:i/>
          <w:sz w:val="24"/>
          <w:szCs w:val="24"/>
        </w:rPr>
        <w:t xml:space="preserve"> New </w:t>
      </w:r>
      <w:proofErr w:type="spellStart"/>
      <w:r w:rsidRPr="00A00A90">
        <w:rPr>
          <w:rFonts w:asciiTheme="majorHAnsi" w:hAnsiTheme="majorHAnsi" w:cs="Times New Roman"/>
          <w:i/>
          <w:sz w:val="24"/>
          <w:szCs w:val="24"/>
        </w:rPr>
        <w:t>Managerialism</w:t>
      </w:r>
      <w:proofErr w:type="spellEnd"/>
      <w:r w:rsidRPr="00A00A90">
        <w:rPr>
          <w:rFonts w:asciiTheme="majorHAnsi" w:hAnsiTheme="majorHAnsi" w:cs="Times New Roman"/>
          <w:i/>
          <w:sz w:val="24"/>
          <w:szCs w:val="24"/>
        </w:rPr>
        <w:t xml:space="preserve"> and Public Service Professions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New York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Palgrave Macmillan.</w:t>
      </w:r>
    </w:p>
    <w:p w14:paraId="0B877F0B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K</w:t>
      </w:r>
      <w:r>
        <w:rPr>
          <w:rFonts w:asciiTheme="majorHAnsi" w:hAnsiTheme="majorHAnsi" w:cs="Times New Roman"/>
          <w:sz w:val="24"/>
          <w:szCs w:val="24"/>
        </w:rPr>
        <w:t>uhlmann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Ellen; </w:t>
      </w:r>
      <w:r w:rsidRPr="00A00A90">
        <w:rPr>
          <w:rFonts w:asciiTheme="majorHAnsi" w:hAnsiTheme="majorHAnsi" w:cs="Times New Roman"/>
          <w:sz w:val="24"/>
          <w:szCs w:val="24"/>
        </w:rPr>
        <w:t xml:space="preserve">Saks, Mike (eds.) (2008), </w:t>
      </w:r>
      <w:r w:rsidRPr="00A00A90">
        <w:rPr>
          <w:rFonts w:asciiTheme="majorHAnsi" w:hAnsiTheme="majorHAnsi" w:cs="Times New Roman"/>
          <w:i/>
          <w:sz w:val="24"/>
          <w:szCs w:val="24"/>
        </w:rPr>
        <w:t>Rethinking Professional Governance: International Directions in Health Care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London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A00A90">
        <w:rPr>
          <w:rFonts w:asciiTheme="majorHAnsi" w:hAnsiTheme="majorHAnsi" w:cs="Times New Roman"/>
          <w:sz w:val="24"/>
          <w:szCs w:val="24"/>
        </w:rPr>
        <w:t>The</w:t>
      </w:r>
      <w:proofErr w:type="gramEnd"/>
      <w:r w:rsidRPr="00A00A90">
        <w:rPr>
          <w:rFonts w:asciiTheme="majorHAnsi" w:hAnsiTheme="majorHAnsi" w:cs="Times New Roman"/>
          <w:sz w:val="24"/>
          <w:szCs w:val="24"/>
        </w:rPr>
        <w:t xml:space="preserve"> Policy Press.</w:t>
      </w:r>
    </w:p>
    <w:p w14:paraId="6821756D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A00A90">
        <w:rPr>
          <w:rFonts w:asciiTheme="majorHAnsi" w:hAnsiTheme="majorHAnsi" w:cs="Times New Roman"/>
          <w:sz w:val="24"/>
          <w:szCs w:val="24"/>
        </w:rPr>
        <w:t>Mayrhofer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Wolfgang</w:t>
      </w:r>
      <w:r>
        <w:rPr>
          <w:rFonts w:asciiTheme="majorHAnsi" w:hAnsiTheme="majorHAnsi" w:cs="Times New Roman"/>
          <w:sz w:val="24"/>
          <w:szCs w:val="24"/>
        </w:rPr>
        <w:t>; Meyer, Michael;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Steyrer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Johannes (2007), “Contextual issues in the study of careers”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36565">
        <w:rPr>
          <w:rFonts w:asciiTheme="majorHAnsi" w:hAnsiTheme="majorHAnsi" w:cs="Times New Roman"/>
          <w:i/>
          <w:sz w:val="24"/>
          <w:szCs w:val="24"/>
        </w:rPr>
        <w:t>in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Gunz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H. and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Peiperl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, M. (eds.), </w:t>
      </w:r>
      <w:r w:rsidRPr="00A00A90">
        <w:rPr>
          <w:rFonts w:asciiTheme="majorHAnsi" w:hAnsiTheme="majorHAnsi" w:cs="Times New Roman"/>
          <w:i/>
          <w:sz w:val="24"/>
          <w:szCs w:val="24"/>
        </w:rPr>
        <w:t>Handbook of Career Studies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London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Sage, 215-240.</w:t>
      </w:r>
    </w:p>
    <w:p w14:paraId="66A2CBC9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Moreau, Marie-Pierre;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Leathwood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>, Carole (2006), “Graduates’ employment and the discourse of employability: a critical analysis”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 xml:space="preserve">Journal of Education and Work, </w:t>
      </w:r>
      <w:r w:rsidRPr="00A00A90">
        <w:rPr>
          <w:rFonts w:asciiTheme="majorHAnsi" w:hAnsiTheme="majorHAnsi" w:cs="Times New Roman"/>
          <w:sz w:val="24"/>
          <w:szCs w:val="24"/>
        </w:rPr>
        <w:t>19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305-324.</w:t>
      </w:r>
    </w:p>
    <w:p w14:paraId="0E70BB29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Muzio</w:t>
      </w:r>
      <w:proofErr w:type="spellEnd"/>
      <w:r>
        <w:rPr>
          <w:rFonts w:asciiTheme="majorHAnsi" w:hAnsiTheme="majorHAnsi" w:cs="Times New Roman"/>
          <w:sz w:val="24"/>
          <w:szCs w:val="24"/>
        </w:rPr>
        <w:t>, Daniel;</w:t>
      </w:r>
      <w:r w:rsidRPr="00A00A90">
        <w:rPr>
          <w:rFonts w:asciiTheme="majorHAnsi" w:hAnsiTheme="majorHAnsi" w:cs="Times New Roman"/>
          <w:sz w:val="24"/>
          <w:szCs w:val="24"/>
        </w:rPr>
        <w:t xml:space="preserve"> Tomlinson, Jennifer (2012), “Editorial: researching gender, inclusion and diversity in contemporary professions and professional organizations”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>Gender, Work and Organization</w:t>
      </w:r>
      <w:r w:rsidRPr="00A00A90">
        <w:rPr>
          <w:rFonts w:asciiTheme="majorHAnsi" w:hAnsiTheme="majorHAnsi" w:cs="Times New Roman"/>
          <w:sz w:val="24"/>
          <w:szCs w:val="24"/>
        </w:rPr>
        <w:t>, 19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455-466.</w:t>
      </w:r>
    </w:p>
    <w:p w14:paraId="15C8BEE8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A00A90">
        <w:rPr>
          <w:rFonts w:asciiTheme="majorHAnsi" w:hAnsiTheme="majorHAnsi" w:cs="Times New Roman"/>
          <w:color w:val="000000"/>
          <w:sz w:val="24"/>
          <w:szCs w:val="24"/>
        </w:rPr>
        <w:t>Roberts, Emma (2008), “Time and work-life balance: The roles of temporal customization and life temporality”</w:t>
      </w:r>
      <w:r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A00A9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iCs/>
          <w:color w:val="000000"/>
          <w:sz w:val="24"/>
          <w:szCs w:val="24"/>
        </w:rPr>
        <w:t>Gender, Work, and Organization</w:t>
      </w:r>
      <w:r w:rsidRPr="00A00A90">
        <w:rPr>
          <w:rFonts w:asciiTheme="majorHAnsi" w:hAnsiTheme="majorHAnsi" w:cs="Times New Roman"/>
          <w:color w:val="000000"/>
          <w:sz w:val="24"/>
          <w:szCs w:val="24"/>
        </w:rPr>
        <w:t>, 15</w:t>
      </w:r>
      <w:r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Pr="00A00A90">
        <w:rPr>
          <w:rFonts w:asciiTheme="majorHAnsi" w:hAnsiTheme="majorHAnsi" w:cs="Times New Roman"/>
          <w:color w:val="000000"/>
          <w:sz w:val="24"/>
          <w:szCs w:val="24"/>
        </w:rPr>
        <w:t xml:space="preserve"> 430- 453.</w:t>
      </w:r>
    </w:p>
    <w:p w14:paraId="515087CC" w14:textId="77777777" w:rsidR="006368BC" w:rsidRPr="00A00A90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A00A90">
        <w:rPr>
          <w:rFonts w:asciiTheme="majorHAnsi" w:hAnsiTheme="majorHAnsi" w:cs="Times New Roman"/>
          <w:sz w:val="24"/>
          <w:szCs w:val="24"/>
        </w:rPr>
        <w:t xml:space="preserve">Santos, Gina </w:t>
      </w:r>
      <w:proofErr w:type="spellStart"/>
      <w:r w:rsidRPr="00A00A90">
        <w:rPr>
          <w:rFonts w:asciiTheme="majorHAnsi" w:hAnsiTheme="majorHAnsi" w:cs="Times New Roman"/>
          <w:sz w:val="24"/>
          <w:szCs w:val="24"/>
        </w:rPr>
        <w:t>Gaio</w:t>
      </w:r>
      <w:proofErr w:type="spellEnd"/>
      <w:r w:rsidRPr="00A00A90">
        <w:rPr>
          <w:rFonts w:asciiTheme="majorHAnsi" w:hAnsiTheme="majorHAnsi" w:cs="Times New Roman"/>
          <w:sz w:val="24"/>
          <w:szCs w:val="24"/>
        </w:rPr>
        <w:t xml:space="preserve"> (2015) “Narratives about work and family life among Portuguese academics”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r w:rsidRPr="00A00A90">
        <w:rPr>
          <w:rFonts w:asciiTheme="majorHAnsi" w:hAnsiTheme="majorHAnsi" w:cs="Times New Roman"/>
          <w:i/>
          <w:sz w:val="24"/>
          <w:szCs w:val="24"/>
        </w:rPr>
        <w:t>Gender, Work and Organization</w:t>
      </w:r>
      <w:r w:rsidRPr="00A00A90">
        <w:rPr>
          <w:rFonts w:asciiTheme="majorHAnsi" w:hAnsiTheme="majorHAnsi" w:cs="Times New Roman"/>
          <w:sz w:val="24"/>
          <w:szCs w:val="24"/>
        </w:rPr>
        <w:t>, 22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1-15.</w:t>
      </w:r>
    </w:p>
    <w:p w14:paraId="19767BD2" w14:textId="77777777" w:rsidR="006368BC" w:rsidRDefault="006368BC" w:rsidP="006368BC">
      <w:pPr>
        <w:pStyle w:val="Textodenotadefim"/>
        <w:spacing w:line="276" w:lineRule="auto"/>
        <w:ind w:left="567" w:hanging="567"/>
        <w:jc w:val="both"/>
        <w:rPr>
          <w:rFonts w:asciiTheme="majorHAnsi" w:hAnsiTheme="majorHAnsi" w:cs="Times New Roman"/>
          <w:sz w:val="24"/>
          <w:szCs w:val="24"/>
          <w:lang w:val="es-ES"/>
        </w:rPr>
      </w:pPr>
      <w:r w:rsidRPr="00A00A90">
        <w:rPr>
          <w:rFonts w:asciiTheme="majorHAnsi" w:hAnsiTheme="majorHAnsi" w:cs="Times New Roman"/>
          <w:sz w:val="24"/>
          <w:szCs w:val="24"/>
        </w:rPr>
        <w:t>Schein, Edgar (1971), “The individual, the organization and the career: A conceptual scheme”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A00A9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The</w:t>
      </w:r>
      <w:proofErr w:type="spellEnd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proofErr w:type="spellStart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Journal</w:t>
      </w:r>
      <w:proofErr w:type="spellEnd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of </w:t>
      </w:r>
      <w:proofErr w:type="spellStart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Applied</w:t>
      </w:r>
      <w:proofErr w:type="spellEnd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proofErr w:type="spellStart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Behavioral</w:t>
      </w:r>
      <w:proofErr w:type="spellEnd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proofErr w:type="spellStart"/>
      <w:r w:rsidRPr="002B6EE6">
        <w:rPr>
          <w:rFonts w:asciiTheme="majorHAnsi" w:hAnsiTheme="majorHAnsi" w:cs="Times New Roman"/>
          <w:i/>
          <w:sz w:val="24"/>
          <w:szCs w:val="24"/>
          <w:lang w:val="es-ES"/>
        </w:rPr>
        <w:t>Science</w:t>
      </w:r>
      <w:proofErr w:type="spellEnd"/>
      <w:r w:rsidRPr="002B6EE6">
        <w:rPr>
          <w:rFonts w:asciiTheme="majorHAnsi" w:hAnsiTheme="majorHAnsi" w:cs="Times New Roman"/>
          <w:sz w:val="24"/>
          <w:szCs w:val="24"/>
          <w:lang w:val="es-ES"/>
        </w:rPr>
        <w:t>, 7</w:t>
      </w:r>
      <w:r>
        <w:rPr>
          <w:rFonts w:asciiTheme="majorHAnsi" w:hAnsiTheme="majorHAnsi" w:cs="Times New Roman"/>
          <w:sz w:val="24"/>
          <w:szCs w:val="24"/>
          <w:lang w:val="es-ES"/>
        </w:rPr>
        <w:t>,</w:t>
      </w:r>
      <w:r w:rsidRPr="002B6EE6">
        <w:rPr>
          <w:rFonts w:asciiTheme="majorHAnsi" w:hAnsiTheme="majorHAnsi" w:cs="Times New Roman"/>
          <w:sz w:val="24"/>
          <w:szCs w:val="24"/>
          <w:lang w:val="es-ES"/>
        </w:rPr>
        <w:t xml:space="preserve"> 401-26.</w:t>
      </w:r>
    </w:p>
    <w:sectPr w:rsidR="006368BC" w:rsidSect="00E1509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6AB65" w14:textId="77777777" w:rsidR="00C416D2" w:rsidRDefault="00C416D2" w:rsidP="00E1509A">
      <w:pPr>
        <w:spacing w:after="0" w:line="240" w:lineRule="auto"/>
      </w:pPr>
      <w:r>
        <w:separator/>
      </w:r>
    </w:p>
  </w:endnote>
  <w:endnote w:type="continuationSeparator" w:id="0">
    <w:p w14:paraId="7B844130" w14:textId="77777777" w:rsidR="00C416D2" w:rsidRDefault="00C416D2" w:rsidP="00E1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738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77B2C5C0" w14:textId="1ADA6976" w:rsidR="00E1509A" w:rsidRPr="00E1509A" w:rsidRDefault="00E1509A">
        <w:pPr>
          <w:pStyle w:val="Rodap"/>
          <w:jc w:val="center"/>
          <w:rPr>
            <w:rFonts w:asciiTheme="majorHAnsi" w:hAnsiTheme="majorHAnsi"/>
            <w:sz w:val="20"/>
          </w:rPr>
        </w:pPr>
        <w:r w:rsidRPr="00E1509A">
          <w:rPr>
            <w:rFonts w:asciiTheme="majorHAnsi" w:hAnsiTheme="majorHAnsi"/>
            <w:sz w:val="20"/>
          </w:rPr>
          <w:fldChar w:fldCharType="begin"/>
        </w:r>
        <w:r w:rsidRPr="00E1509A">
          <w:rPr>
            <w:rFonts w:asciiTheme="majorHAnsi" w:hAnsiTheme="majorHAnsi"/>
            <w:sz w:val="20"/>
          </w:rPr>
          <w:instrText>PAGE   \* MERGEFORMAT</w:instrText>
        </w:r>
        <w:r w:rsidRPr="00E1509A">
          <w:rPr>
            <w:rFonts w:asciiTheme="majorHAnsi" w:hAnsiTheme="majorHAnsi"/>
            <w:sz w:val="20"/>
          </w:rPr>
          <w:fldChar w:fldCharType="separate"/>
        </w:r>
        <w:r w:rsidR="006368BC" w:rsidRPr="006368BC">
          <w:rPr>
            <w:rFonts w:asciiTheme="majorHAnsi" w:hAnsiTheme="majorHAnsi"/>
            <w:noProof/>
            <w:sz w:val="20"/>
            <w:lang w:val="pt-PT"/>
          </w:rPr>
          <w:t>5</w:t>
        </w:r>
        <w:r w:rsidRPr="00E1509A">
          <w:rPr>
            <w:rFonts w:asciiTheme="majorHAnsi" w:hAnsiTheme="majorHAnsi"/>
            <w:sz w:val="20"/>
          </w:rPr>
          <w:fldChar w:fldCharType="end"/>
        </w:r>
      </w:p>
    </w:sdtContent>
  </w:sdt>
  <w:p w14:paraId="6132F211" w14:textId="77777777" w:rsidR="00E1509A" w:rsidRDefault="00E15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17DD" w14:textId="77777777" w:rsidR="00C416D2" w:rsidRDefault="00C416D2" w:rsidP="00E1509A">
      <w:pPr>
        <w:spacing w:after="0" w:line="240" w:lineRule="auto"/>
      </w:pPr>
      <w:r>
        <w:separator/>
      </w:r>
    </w:p>
  </w:footnote>
  <w:footnote w:type="continuationSeparator" w:id="0">
    <w:p w14:paraId="4642789A" w14:textId="77777777" w:rsidR="00C416D2" w:rsidRDefault="00C416D2" w:rsidP="00E1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5219"/>
    <w:multiLevelType w:val="hybridMultilevel"/>
    <w:tmpl w:val="7FC085DA"/>
    <w:lvl w:ilvl="0" w:tplc="94425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610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A9B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A67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4BD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89F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0B4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8D0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39"/>
    <w:rsid w:val="00003290"/>
    <w:rsid w:val="00003CFF"/>
    <w:rsid w:val="000433E2"/>
    <w:rsid w:val="00054F18"/>
    <w:rsid w:val="00074C15"/>
    <w:rsid w:val="0009376C"/>
    <w:rsid w:val="000C014D"/>
    <w:rsid w:val="000C6689"/>
    <w:rsid w:val="000D21BD"/>
    <w:rsid w:val="000E5E1A"/>
    <w:rsid w:val="0011743C"/>
    <w:rsid w:val="001242F9"/>
    <w:rsid w:val="001438BE"/>
    <w:rsid w:val="0015206E"/>
    <w:rsid w:val="0016030F"/>
    <w:rsid w:val="00162865"/>
    <w:rsid w:val="00163C7C"/>
    <w:rsid w:val="00173375"/>
    <w:rsid w:val="001762B1"/>
    <w:rsid w:val="001B4D66"/>
    <w:rsid w:val="001D3BE8"/>
    <w:rsid w:val="002107BC"/>
    <w:rsid w:val="00211C08"/>
    <w:rsid w:val="00220197"/>
    <w:rsid w:val="002372DD"/>
    <w:rsid w:val="00260C51"/>
    <w:rsid w:val="002863D4"/>
    <w:rsid w:val="00290128"/>
    <w:rsid w:val="002B3165"/>
    <w:rsid w:val="003123E4"/>
    <w:rsid w:val="00326E3C"/>
    <w:rsid w:val="00374373"/>
    <w:rsid w:val="00380D6B"/>
    <w:rsid w:val="003B2E27"/>
    <w:rsid w:val="00415D7F"/>
    <w:rsid w:val="00463C4B"/>
    <w:rsid w:val="004656DA"/>
    <w:rsid w:val="00474A41"/>
    <w:rsid w:val="00475FC5"/>
    <w:rsid w:val="00476220"/>
    <w:rsid w:val="00485CEB"/>
    <w:rsid w:val="004A5577"/>
    <w:rsid w:val="004B39F4"/>
    <w:rsid w:val="004D15D1"/>
    <w:rsid w:val="004D67C4"/>
    <w:rsid w:val="004D7C32"/>
    <w:rsid w:val="004E0C93"/>
    <w:rsid w:val="004E32D7"/>
    <w:rsid w:val="004E3999"/>
    <w:rsid w:val="004F5C4D"/>
    <w:rsid w:val="004F7BEF"/>
    <w:rsid w:val="00520F6E"/>
    <w:rsid w:val="0052792A"/>
    <w:rsid w:val="00530883"/>
    <w:rsid w:val="00560463"/>
    <w:rsid w:val="00586DED"/>
    <w:rsid w:val="005A4349"/>
    <w:rsid w:val="005C2E57"/>
    <w:rsid w:val="005F7211"/>
    <w:rsid w:val="0060260B"/>
    <w:rsid w:val="006368BC"/>
    <w:rsid w:val="00646B4A"/>
    <w:rsid w:val="00663F6A"/>
    <w:rsid w:val="00671DB7"/>
    <w:rsid w:val="00685572"/>
    <w:rsid w:val="00692223"/>
    <w:rsid w:val="00696A1A"/>
    <w:rsid w:val="00697322"/>
    <w:rsid w:val="006C3573"/>
    <w:rsid w:val="00706A7B"/>
    <w:rsid w:val="00737F7F"/>
    <w:rsid w:val="0075691F"/>
    <w:rsid w:val="0078145B"/>
    <w:rsid w:val="00783CE6"/>
    <w:rsid w:val="0078532B"/>
    <w:rsid w:val="007B0A34"/>
    <w:rsid w:val="007C589D"/>
    <w:rsid w:val="007E3B39"/>
    <w:rsid w:val="007E6614"/>
    <w:rsid w:val="008361A8"/>
    <w:rsid w:val="008533BD"/>
    <w:rsid w:val="0086036E"/>
    <w:rsid w:val="008711D9"/>
    <w:rsid w:val="008A0738"/>
    <w:rsid w:val="008A0C49"/>
    <w:rsid w:val="008C37AB"/>
    <w:rsid w:val="00906D6D"/>
    <w:rsid w:val="00910E7E"/>
    <w:rsid w:val="00914484"/>
    <w:rsid w:val="00922960"/>
    <w:rsid w:val="00935B93"/>
    <w:rsid w:val="00942796"/>
    <w:rsid w:val="009439B9"/>
    <w:rsid w:val="0094567B"/>
    <w:rsid w:val="00954E7F"/>
    <w:rsid w:val="0096313A"/>
    <w:rsid w:val="009704A0"/>
    <w:rsid w:val="0098573A"/>
    <w:rsid w:val="00994B16"/>
    <w:rsid w:val="009C32EE"/>
    <w:rsid w:val="009D79E2"/>
    <w:rsid w:val="009E0AF6"/>
    <w:rsid w:val="00A00A90"/>
    <w:rsid w:val="00A12190"/>
    <w:rsid w:val="00A56719"/>
    <w:rsid w:val="00A6467B"/>
    <w:rsid w:val="00A74B9F"/>
    <w:rsid w:val="00A93940"/>
    <w:rsid w:val="00AB017B"/>
    <w:rsid w:val="00AB41D9"/>
    <w:rsid w:val="00AD0FEC"/>
    <w:rsid w:val="00AD24EF"/>
    <w:rsid w:val="00AF3273"/>
    <w:rsid w:val="00B011C6"/>
    <w:rsid w:val="00B12938"/>
    <w:rsid w:val="00B640AB"/>
    <w:rsid w:val="00BD4DC1"/>
    <w:rsid w:val="00BF0359"/>
    <w:rsid w:val="00C04DB5"/>
    <w:rsid w:val="00C17D2D"/>
    <w:rsid w:val="00C37A5C"/>
    <w:rsid w:val="00C416D2"/>
    <w:rsid w:val="00C46160"/>
    <w:rsid w:val="00C56FDA"/>
    <w:rsid w:val="00C820E0"/>
    <w:rsid w:val="00C839F7"/>
    <w:rsid w:val="00C83FC3"/>
    <w:rsid w:val="00CB067C"/>
    <w:rsid w:val="00CB471F"/>
    <w:rsid w:val="00CC470E"/>
    <w:rsid w:val="00CC4B41"/>
    <w:rsid w:val="00CD14AA"/>
    <w:rsid w:val="00CD1C4F"/>
    <w:rsid w:val="00CE4A9B"/>
    <w:rsid w:val="00CF2363"/>
    <w:rsid w:val="00D169FF"/>
    <w:rsid w:val="00D47E6A"/>
    <w:rsid w:val="00D870CC"/>
    <w:rsid w:val="00DD39E0"/>
    <w:rsid w:val="00DF680E"/>
    <w:rsid w:val="00E1509A"/>
    <w:rsid w:val="00E242C2"/>
    <w:rsid w:val="00E461D3"/>
    <w:rsid w:val="00E478E2"/>
    <w:rsid w:val="00E97206"/>
    <w:rsid w:val="00EE16C0"/>
    <w:rsid w:val="00F113E2"/>
    <w:rsid w:val="00F31603"/>
    <w:rsid w:val="00F32DD1"/>
    <w:rsid w:val="00F54728"/>
    <w:rsid w:val="00F80D9F"/>
    <w:rsid w:val="00F95565"/>
    <w:rsid w:val="00FD2BFB"/>
    <w:rsid w:val="00FD3BE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C333"/>
  <w15:docId w15:val="{327E9137-1D9A-499A-BE40-38AD0BF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030F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2BF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D2BF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2BF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2BF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2BF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B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rsid w:val="00783C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783CE6"/>
    <w:rPr>
      <w:rFonts w:ascii="Times New Roman" w:eastAsia="Times New Roman" w:hAnsi="Times New Roman" w:cs="Times New Roman"/>
      <w:i/>
      <w:iCs/>
      <w:sz w:val="20"/>
      <w:szCs w:val="20"/>
      <w:lang w:val="pt-PT"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CF236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CF2363"/>
    <w:rPr>
      <w:sz w:val="20"/>
      <w:szCs w:val="20"/>
    </w:rPr>
  </w:style>
  <w:style w:type="paragraph" w:customStyle="1" w:styleId="Style2">
    <w:name w:val="Style 2"/>
    <w:uiPriority w:val="99"/>
    <w:rsid w:val="00163C7C"/>
    <w:pPr>
      <w:widowControl w:val="0"/>
      <w:autoSpaceDE w:val="0"/>
      <w:autoSpaceDN w:val="0"/>
      <w:spacing w:before="36" w:after="0" w:line="240" w:lineRule="auto"/>
      <w:ind w:firstLine="216"/>
      <w:jc w:val="both"/>
    </w:pPr>
    <w:rPr>
      <w:rFonts w:ascii="Times New Roman" w:eastAsia="Times New Roman" w:hAnsi="Times New Roman" w:cs="Times New Roman"/>
      <w:lang w:val="en-US" w:eastAsia="pt-PT"/>
    </w:rPr>
  </w:style>
  <w:style w:type="character" w:customStyle="1" w:styleId="CharacterStyle2">
    <w:name w:val="Character Style 2"/>
    <w:uiPriority w:val="99"/>
    <w:rsid w:val="00163C7C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7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Tipodeletrapredefinidodopargrafo"/>
    <w:uiPriority w:val="22"/>
    <w:qFormat/>
    <w:rsid w:val="00A00A90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E1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509A"/>
  </w:style>
  <w:style w:type="paragraph" w:styleId="Rodap">
    <w:name w:val="footer"/>
    <w:basedOn w:val="Normal"/>
    <w:link w:val="RodapCarter"/>
    <w:uiPriority w:val="99"/>
    <w:unhideWhenUsed/>
    <w:rsid w:val="00E1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cielo.org/en/2014/02/28/scielo-citation-index-in-the-web-of-sci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pem-estudos.org/en/page/apresentacao-da-revist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Carvalho</dc:creator>
  <cp:lastModifiedBy>AB</cp:lastModifiedBy>
  <cp:revision>18</cp:revision>
  <cp:lastPrinted>2015-01-19T16:20:00Z</cp:lastPrinted>
  <dcterms:created xsi:type="dcterms:W3CDTF">2015-01-31T19:51:00Z</dcterms:created>
  <dcterms:modified xsi:type="dcterms:W3CDTF">2015-06-19T01:09:00Z</dcterms:modified>
</cp:coreProperties>
</file>